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33C" w:rsidRPr="00514172" w:rsidRDefault="00552A61" w:rsidP="009160C6">
      <w:pPr>
        <w:rPr>
          <w:rFonts w:ascii="Arial" w:hAnsi="Arial" w:cs="Arial"/>
          <w:sz w:val="24"/>
          <w:szCs w:val="24"/>
        </w:rPr>
      </w:pPr>
      <w:r w:rsidRPr="00514172">
        <w:rPr>
          <w:rFonts w:ascii="Arial" w:hAnsi="Arial" w:cs="Arial"/>
          <w:sz w:val="24"/>
          <w:szCs w:val="24"/>
        </w:rPr>
        <w:t>UNIVERSIDADE FEDERAL DO PARANÁ</w:t>
      </w:r>
    </w:p>
    <w:p w:rsidR="00514172" w:rsidRDefault="00166740" w:rsidP="009160C6">
      <w:pPr>
        <w:tabs>
          <w:tab w:val="left" w:pos="4830"/>
        </w:tabs>
        <w:rPr>
          <w:sz w:val="28"/>
          <w:szCs w:val="28"/>
        </w:rPr>
      </w:pPr>
      <w:r>
        <w:rPr>
          <w:noProof/>
          <w:lang w:eastAsia="pt-BR"/>
        </w:rPr>
        <w:drawing>
          <wp:anchor distT="0" distB="0" distL="114300" distR="114300" simplePos="0" relativeHeight="251658240" behindDoc="1" locked="0" layoutInCell="1" allowOverlap="1" wp14:anchorId="128751AB" wp14:editId="6C54D619">
            <wp:simplePos x="0" y="0"/>
            <wp:positionH relativeFrom="page">
              <wp:posOffset>57150</wp:posOffset>
            </wp:positionH>
            <wp:positionV relativeFrom="paragraph">
              <wp:posOffset>380364</wp:posOffset>
            </wp:positionV>
            <wp:extent cx="7449185" cy="8143875"/>
            <wp:effectExtent l="0" t="0" r="0" b="9525"/>
            <wp:wrapNone/>
            <wp:docPr id="1" name="Imagem 1" descr="http://www.portal.ufpr.br/images/capa_padrao_ufpr_im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rtal.ufpr.br/images/capa_padrao_ufpr_imprensa.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7449674" cy="814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172" w:rsidRDefault="00514172" w:rsidP="00F64985">
      <w:pPr>
        <w:tabs>
          <w:tab w:val="left" w:pos="4830"/>
        </w:tabs>
        <w:ind w:right="-1"/>
        <w:rPr>
          <w:sz w:val="28"/>
          <w:szCs w:val="28"/>
        </w:rPr>
      </w:pPr>
    </w:p>
    <w:p w:rsidR="00514172" w:rsidRDefault="00514172" w:rsidP="00514172">
      <w:pPr>
        <w:tabs>
          <w:tab w:val="left" w:pos="4830"/>
        </w:tabs>
        <w:rPr>
          <w:rFonts w:ascii="Arial" w:hAnsi="Arial" w:cs="Arial"/>
          <w:sz w:val="24"/>
          <w:szCs w:val="24"/>
        </w:rPr>
      </w:pPr>
      <w:r>
        <w:rPr>
          <w:rFonts w:ascii="Arial" w:hAnsi="Arial" w:cs="Arial"/>
          <w:sz w:val="24"/>
          <w:szCs w:val="24"/>
        </w:rPr>
        <w:t>LETÍCIA DE MELLO LABEGALINI</w:t>
      </w:r>
    </w:p>
    <w:p w:rsidR="00514172" w:rsidRDefault="00514172" w:rsidP="00514172">
      <w:pPr>
        <w:tabs>
          <w:tab w:val="left" w:pos="4830"/>
        </w:tabs>
        <w:rPr>
          <w:rFonts w:ascii="Arial" w:hAnsi="Arial" w:cs="Arial"/>
          <w:sz w:val="24"/>
          <w:szCs w:val="24"/>
        </w:rPr>
      </w:pPr>
    </w:p>
    <w:p w:rsidR="00514172" w:rsidRDefault="00514172" w:rsidP="00514172">
      <w:pPr>
        <w:tabs>
          <w:tab w:val="left" w:pos="4830"/>
        </w:tabs>
      </w:pPr>
    </w:p>
    <w:p w:rsidR="00514172" w:rsidRDefault="00514172" w:rsidP="00514172">
      <w:pPr>
        <w:tabs>
          <w:tab w:val="left" w:pos="4830"/>
        </w:tabs>
      </w:pPr>
    </w:p>
    <w:p w:rsidR="00514172" w:rsidRDefault="00514172" w:rsidP="00514172">
      <w:pPr>
        <w:tabs>
          <w:tab w:val="left" w:pos="4830"/>
        </w:tabs>
      </w:pPr>
    </w:p>
    <w:p w:rsidR="009160C6" w:rsidRDefault="009160C6" w:rsidP="00514172">
      <w:pPr>
        <w:tabs>
          <w:tab w:val="left" w:pos="4830"/>
        </w:tabs>
      </w:pPr>
    </w:p>
    <w:p w:rsidR="009160C6" w:rsidRDefault="009160C6" w:rsidP="00514172">
      <w:pPr>
        <w:tabs>
          <w:tab w:val="left" w:pos="4830"/>
        </w:tabs>
      </w:pPr>
    </w:p>
    <w:p w:rsidR="009160C6" w:rsidRDefault="009160C6" w:rsidP="00514172">
      <w:pPr>
        <w:tabs>
          <w:tab w:val="left" w:pos="4830"/>
        </w:tabs>
      </w:pPr>
    </w:p>
    <w:p w:rsidR="009160C6" w:rsidRDefault="009160C6" w:rsidP="009160C6">
      <w:pPr>
        <w:tabs>
          <w:tab w:val="left" w:pos="4830"/>
        </w:tabs>
      </w:pPr>
    </w:p>
    <w:p w:rsidR="009160C6" w:rsidRDefault="009160C6" w:rsidP="009160C6">
      <w:pPr>
        <w:tabs>
          <w:tab w:val="left" w:pos="4830"/>
        </w:tabs>
        <w:rPr>
          <w:rFonts w:ascii="Arial" w:hAnsi="Arial" w:cs="Arial"/>
          <w:b/>
          <w:i/>
          <w:sz w:val="24"/>
          <w:szCs w:val="24"/>
        </w:rPr>
      </w:pPr>
      <w:r w:rsidRPr="009160C6">
        <w:rPr>
          <w:rFonts w:ascii="Arial" w:hAnsi="Arial" w:cs="Arial"/>
          <w:b/>
          <w:sz w:val="24"/>
          <w:szCs w:val="24"/>
        </w:rPr>
        <w:t>CÔNJUGE SUPÉRSTITE COMO HERDEIRO NECESSÁRIO NO REGIME DE</w:t>
      </w:r>
      <w:r>
        <w:rPr>
          <w:rFonts w:ascii="Arial" w:hAnsi="Arial" w:cs="Arial"/>
          <w:b/>
          <w:sz w:val="24"/>
          <w:szCs w:val="24"/>
        </w:rPr>
        <w:t xml:space="preserve"> </w:t>
      </w:r>
      <w:r w:rsidR="00C01D71">
        <w:rPr>
          <w:rFonts w:ascii="Arial" w:hAnsi="Arial" w:cs="Arial"/>
          <w:b/>
          <w:sz w:val="24"/>
          <w:szCs w:val="24"/>
        </w:rPr>
        <w:t>SEPARAÇÃO CONVENCIONAL DE BENS</w:t>
      </w:r>
      <w:r w:rsidR="00341E09">
        <w:rPr>
          <w:rFonts w:ascii="Arial" w:hAnsi="Arial" w:cs="Arial"/>
          <w:b/>
          <w:sz w:val="24"/>
          <w:szCs w:val="24"/>
        </w:rPr>
        <w:t>: UMA AFRONTA À AUTONOMIA DA VONTADE</w:t>
      </w:r>
    </w:p>
    <w:p w:rsidR="009160C6" w:rsidRDefault="009160C6"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BB44E5" w:rsidRDefault="00BB44E5"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3B77E3" w:rsidRDefault="003B77E3" w:rsidP="00514172">
      <w:pPr>
        <w:tabs>
          <w:tab w:val="left" w:pos="4830"/>
        </w:tabs>
        <w:rPr>
          <w:rFonts w:ascii="Arial" w:hAnsi="Arial" w:cs="Arial"/>
          <w:b/>
          <w:i/>
          <w:sz w:val="24"/>
          <w:szCs w:val="24"/>
        </w:rPr>
      </w:pPr>
    </w:p>
    <w:p w:rsidR="003B77E3" w:rsidRDefault="003B77E3" w:rsidP="00514172">
      <w:pPr>
        <w:tabs>
          <w:tab w:val="left" w:pos="4830"/>
        </w:tabs>
        <w:rPr>
          <w:rFonts w:ascii="Arial" w:hAnsi="Arial" w:cs="Arial"/>
          <w:b/>
          <w:i/>
          <w:sz w:val="24"/>
          <w:szCs w:val="24"/>
        </w:rPr>
      </w:pPr>
    </w:p>
    <w:p w:rsidR="003B77E3" w:rsidRDefault="003B77E3" w:rsidP="00514172">
      <w:pPr>
        <w:tabs>
          <w:tab w:val="left" w:pos="4830"/>
        </w:tabs>
        <w:rPr>
          <w:rFonts w:ascii="Arial" w:hAnsi="Arial" w:cs="Arial"/>
          <w:b/>
          <w:i/>
          <w:sz w:val="24"/>
          <w:szCs w:val="24"/>
        </w:rPr>
      </w:pPr>
    </w:p>
    <w:p w:rsidR="003B77E3" w:rsidRDefault="003B77E3" w:rsidP="00514172">
      <w:pPr>
        <w:tabs>
          <w:tab w:val="left" w:pos="4830"/>
        </w:tabs>
        <w:rPr>
          <w:rFonts w:ascii="Arial" w:hAnsi="Arial" w:cs="Arial"/>
          <w:b/>
          <w:i/>
          <w:sz w:val="24"/>
          <w:szCs w:val="24"/>
        </w:rPr>
      </w:pPr>
    </w:p>
    <w:p w:rsidR="003B77E3" w:rsidRDefault="003B77E3" w:rsidP="00514172">
      <w:pPr>
        <w:tabs>
          <w:tab w:val="left" w:pos="4830"/>
        </w:tabs>
        <w:rPr>
          <w:rFonts w:ascii="Arial" w:hAnsi="Arial" w:cs="Arial"/>
          <w:b/>
          <w:i/>
          <w:sz w:val="24"/>
          <w:szCs w:val="24"/>
        </w:rPr>
      </w:pPr>
    </w:p>
    <w:p w:rsidR="009160C6" w:rsidRDefault="009160C6" w:rsidP="00514172">
      <w:pPr>
        <w:tabs>
          <w:tab w:val="left" w:pos="4830"/>
        </w:tabs>
        <w:rPr>
          <w:rFonts w:ascii="Arial" w:hAnsi="Arial" w:cs="Arial"/>
          <w:b/>
          <w:i/>
          <w:sz w:val="24"/>
          <w:szCs w:val="24"/>
        </w:rPr>
      </w:pPr>
    </w:p>
    <w:p w:rsidR="00C70AC0" w:rsidRDefault="00C70AC0" w:rsidP="00514172">
      <w:pPr>
        <w:tabs>
          <w:tab w:val="left" w:pos="4830"/>
        </w:tabs>
        <w:rPr>
          <w:rFonts w:ascii="Arial" w:hAnsi="Arial" w:cs="Arial"/>
          <w:b/>
          <w:i/>
          <w:sz w:val="24"/>
          <w:szCs w:val="24"/>
        </w:rPr>
      </w:pPr>
    </w:p>
    <w:p w:rsidR="00C01D71" w:rsidRDefault="00C01D71" w:rsidP="00341E09">
      <w:pPr>
        <w:tabs>
          <w:tab w:val="left" w:pos="4830"/>
        </w:tabs>
        <w:jc w:val="both"/>
        <w:rPr>
          <w:rFonts w:ascii="Arial" w:hAnsi="Arial" w:cs="Arial"/>
          <w:b/>
          <w:i/>
          <w:sz w:val="24"/>
          <w:szCs w:val="24"/>
        </w:rPr>
      </w:pPr>
    </w:p>
    <w:p w:rsidR="009160C6" w:rsidRDefault="009160C6" w:rsidP="009160C6">
      <w:pPr>
        <w:tabs>
          <w:tab w:val="left" w:pos="4830"/>
        </w:tabs>
        <w:rPr>
          <w:rFonts w:ascii="Arial" w:hAnsi="Arial" w:cs="Arial"/>
          <w:sz w:val="24"/>
          <w:szCs w:val="24"/>
        </w:rPr>
      </w:pPr>
      <w:r>
        <w:rPr>
          <w:rFonts w:ascii="Arial" w:hAnsi="Arial" w:cs="Arial"/>
          <w:sz w:val="24"/>
          <w:szCs w:val="24"/>
        </w:rPr>
        <w:t>CURITIBA</w:t>
      </w:r>
    </w:p>
    <w:p w:rsidR="009160C6" w:rsidRDefault="009160C6" w:rsidP="00514172">
      <w:pPr>
        <w:tabs>
          <w:tab w:val="left" w:pos="4830"/>
        </w:tabs>
        <w:rPr>
          <w:rFonts w:ascii="Arial" w:hAnsi="Arial" w:cs="Arial"/>
          <w:sz w:val="24"/>
          <w:szCs w:val="24"/>
        </w:rPr>
      </w:pPr>
      <w:r>
        <w:rPr>
          <w:rFonts w:ascii="Arial" w:hAnsi="Arial" w:cs="Arial"/>
          <w:sz w:val="24"/>
          <w:szCs w:val="24"/>
        </w:rPr>
        <w:t>2019</w:t>
      </w:r>
      <w:r w:rsidR="00C70AC0">
        <w:rPr>
          <w:rFonts w:ascii="Arial" w:hAnsi="Arial" w:cs="Arial"/>
          <w:sz w:val="24"/>
          <w:szCs w:val="24"/>
        </w:rPr>
        <w:br w:type="page"/>
      </w:r>
      <w:r>
        <w:rPr>
          <w:rFonts w:ascii="Arial" w:hAnsi="Arial" w:cs="Arial"/>
          <w:sz w:val="24"/>
          <w:szCs w:val="24"/>
        </w:rPr>
        <w:lastRenderedPageBreak/>
        <w:t>LETÍCIA DE MELLO LABEGALINI</w:t>
      </w:r>
    </w:p>
    <w:p w:rsidR="009160C6" w:rsidRDefault="009160C6"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Pr="000D318C" w:rsidRDefault="000D318C" w:rsidP="00514172">
      <w:pPr>
        <w:tabs>
          <w:tab w:val="left" w:pos="4830"/>
        </w:tabs>
        <w:rPr>
          <w:rFonts w:ascii="Arial" w:hAnsi="Arial" w:cs="Arial"/>
          <w:sz w:val="24"/>
          <w:szCs w:val="24"/>
        </w:rPr>
      </w:pPr>
    </w:p>
    <w:p w:rsidR="000D318C" w:rsidRP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EF2474" w:rsidRPr="000D318C" w:rsidRDefault="00EF2474" w:rsidP="00514172">
      <w:pPr>
        <w:tabs>
          <w:tab w:val="left" w:pos="4830"/>
        </w:tabs>
        <w:rPr>
          <w:rFonts w:ascii="Arial" w:hAnsi="Arial" w:cs="Arial"/>
          <w:sz w:val="24"/>
          <w:szCs w:val="24"/>
        </w:rPr>
      </w:pPr>
    </w:p>
    <w:p w:rsidR="000D318C" w:rsidRPr="00E14C34" w:rsidRDefault="000D318C" w:rsidP="00A13BD1">
      <w:pPr>
        <w:tabs>
          <w:tab w:val="left" w:pos="4830"/>
        </w:tabs>
        <w:rPr>
          <w:rFonts w:ascii="Arial" w:hAnsi="Arial" w:cs="Arial"/>
          <w:b/>
          <w:sz w:val="24"/>
          <w:szCs w:val="24"/>
        </w:rPr>
      </w:pPr>
      <w:r w:rsidRPr="00E14C34">
        <w:rPr>
          <w:rFonts w:ascii="Arial" w:hAnsi="Arial" w:cs="Arial"/>
          <w:b/>
          <w:sz w:val="24"/>
          <w:szCs w:val="24"/>
        </w:rPr>
        <w:t xml:space="preserve">CÔNJUGE SUPÉRSTITE COMO HERDEIRO NECESSÁRIO NO REGIME DE </w:t>
      </w:r>
      <w:r w:rsidR="00C01D71">
        <w:rPr>
          <w:rFonts w:ascii="Arial" w:hAnsi="Arial" w:cs="Arial"/>
          <w:b/>
          <w:sz w:val="24"/>
          <w:szCs w:val="24"/>
        </w:rPr>
        <w:t>SEPARAÇÃO CONVENCIONAL DE BENS</w:t>
      </w:r>
      <w:r w:rsidR="00341E09">
        <w:rPr>
          <w:rFonts w:ascii="Arial" w:hAnsi="Arial" w:cs="Arial"/>
          <w:b/>
          <w:sz w:val="24"/>
          <w:szCs w:val="24"/>
        </w:rPr>
        <w:t>: UMA AFRONTA À AUTONOMIA DA VONTADE</w:t>
      </w:r>
    </w:p>
    <w:p w:rsidR="006C1DFD" w:rsidRDefault="006C1DFD" w:rsidP="00A13BD1">
      <w:pPr>
        <w:tabs>
          <w:tab w:val="left" w:pos="4830"/>
        </w:tabs>
        <w:rPr>
          <w:rFonts w:ascii="Arial" w:hAnsi="Arial" w:cs="Arial"/>
          <w:sz w:val="24"/>
          <w:szCs w:val="24"/>
        </w:rPr>
      </w:pPr>
    </w:p>
    <w:p w:rsidR="000D318C" w:rsidRDefault="000D318C" w:rsidP="00A13BD1">
      <w:pPr>
        <w:tabs>
          <w:tab w:val="left" w:pos="4830"/>
        </w:tabs>
        <w:ind w:left="4536"/>
        <w:jc w:val="both"/>
        <w:rPr>
          <w:rFonts w:ascii="Arial" w:hAnsi="Arial" w:cs="Arial"/>
          <w:sz w:val="24"/>
          <w:szCs w:val="24"/>
        </w:rPr>
      </w:pPr>
    </w:p>
    <w:p w:rsidR="00A13BD1" w:rsidRDefault="000D318C" w:rsidP="00A13BD1">
      <w:pPr>
        <w:tabs>
          <w:tab w:val="left" w:pos="4830"/>
        </w:tabs>
        <w:spacing w:line="240" w:lineRule="auto"/>
        <w:ind w:left="4536"/>
        <w:jc w:val="both"/>
        <w:rPr>
          <w:rFonts w:ascii="Arial" w:hAnsi="Arial" w:cs="Arial"/>
          <w:sz w:val="20"/>
          <w:szCs w:val="20"/>
        </w:rPr>
      </w:pPr>
      <w:r w:rsidRPr="000D318C">
        <w:rPr>
          <w:rFonts w:ascii="Arial" w:hAnsi="Arial" w:cs="Arial"/>
          <w:sz w:val="20"/>
          <w:szCs w:val="20"/>
        </w:rPr>
        <w:t>Artigo apresentado como requisito parcial à obtenção do título de Bacharel no Curso de Direito, Setor de Ciências Jurídicas da Universidade Federal do Paraná.</w:t>
      </w:r>
    </w:p>
    <w:p w:rsidR="00A13BD1" w:rsidRDefault="00A13BD1" w:rsidP="00A13BD1">
      <w:pPr>
        <w:tabs>
          <w:tab w:val="left" w:pos="4830"/>
        </w:tabs>
        <w:spacing w:line="240" w:lineRule="auto"/>
        <w:ind w:left="4536"/>
        <w:jc w:val="both"/>
        <w:rPr>
          <w:rFonts w:ascii="Arial" w:hAnsi="Arial" w:cs="Arial"/>
          <w:sz w:val="20"/>
          <w:szCs w:val="20"/>
        </w:rPr>
      </w:pPr>
    </w:p>
    <w:p w:rsidR="000D318C" w:rsidRPr="000D318C" w:rsidRDefault="000D318C" w:rsidP="00A13BD1">
      <w:pPr>
        <w:tabs>
          <w:tab w:val="left" w:pos="4830"/>
        </w:tabs>
        <w:spacing w:line="240" w:lineRule="auto"/>
        <w:ind w:left="4536"/>
        <w:jc w:val="both"/>
        <w:rPr>
          <w:rFonts w:ascii="Arial" w:hAnsi="Arial" w:cs="Arial"/>
          <w:i/>
          <w:sz w:val="20"/>
          <w:szCs w:val="20"/>
        </w:rPr>
      </w:pPr>
      <w:r w:rsidRPr="000D318C">
        <w:rPr>
          <w:rFonts w:ascii="Arial" w:hAnsi="Arial" w:cs="Arial"/>
          <w:sz w:val="20"/>
          <w:szCs w:val="20"/>
        </w:rPr>
        <w:t>Orientador: Prof. Eroulths Cortiano Júnior</w:t>
      </w:r>
    </w:p>
    <w:p w:rsidR="000D318C" w:rsidRPr="000D318C" w:rsidRDefault="000D318C" w:rsidP="000D318C">
      <w:pPr>
        <w:tabs>
          <w:tab w:val="left" w:pos="4830"/>
        </w:tabs>
        <w:spacing w:line="240" w:lineRule="auto"/>
        <w:rPr>
          <w:rFonts w:ascii="Arial" w:hAnsi="Arial" w:cs="Arial"/>
          <w:sz w:val="20"/>
          <w:szCs w:val="20"/>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0D318C" w:rsidRDefault="000D318C" w:rsidP="00514172">
      <w:pPr>
        <w:tabs>
          <w:tab w:val="left" w:pos="4830"/>
        </w:tabs>
        <w:rPr>
          <w:rFonts w:ascii="Arial" w:hAnsi="Arial" w:cs="Arial"/>
          <w:sz w:val="24"/>
          <w:szCs w:val="24"/>
        </w:rPr>
      </w:pPr>
    </w:p>
    <w:p w:rsidR="006665F9" w:rsidRDefault="006665F9" w:rsidP="006665F9">
      <w:pPr>
        <w:tabs>
          <w:tab w:val="left" w:pos="4830"/>
        </w:tabs>
        <w:jc w:val="both"/>
        <w:rPr>
          <w:rFonts w:ascii="Arial" w:hAnsi="Arial" w:cs="Arial"/>
          <w:sz w:val="24"/>
          <w:szCs w:val="24"/>
        </w:rPr>
      </w:pPr>
    </w:p>
    <w:p w:rsidR="00BB44E5" w:rsidRDefault="00BB44E5" w:rsidP="00514172">
      <w:pPr>
        <w:tabs>
          <w:tab w:val="left" w:pos="4830"/>
        </w:tabs>
        <w:rPr>
          <w:rFonts w:ascii="Arial" w:hAnsi="Arial" w:cs="Arial"/>
          <w:sz w:val="24"/>
          <w:szCs w:val="24"/>
        </w:rPr>
      </w:pPr>
    </w:p>
    <w:p w:rsidR="00BB44E5" w:rsidRDefault="00BB44E5" w:rsidP="00514172">
      <w:pPr>
        <w:tabs>
          <w:tab w:val="left" w:pos="4830"/>
        </w:tabs>
        <w:rPr>
          <w:rFonts w:ascii="Arial" w:hAnsi="Arial" w:cs="Arial"/>
          <w:sz w:val="24"/>
          <w:szCs w:val="24"/>
        </w:rPr>
      </w:pPr>
    </w:p>
    <w:p w:rsidR="00C01D71" w:rsidRDefault="00C01D71" w:rsidP="00C01D71">
      <w:pPr>
        <w:tabs>
          <w:tab w:val="left" w:pos="4830"/>
          <w:tab w:val="left" w:pos="6180"/>
        </w:tabs>
        <w:jc w:val="left"/>
        <w:rPr>
          <w:rFonts w:ascii="Arial" w:hAnsi="Arial" w:cs="Arial"/>
          <w:sz w:val="24"/>
          <w:szCs w:val="24"/>
        </w:rPr>
      </w:pPr>
      <w:r>
        <w:rPr>
          <w:rFonts w:ascii="Arial" w:hAnsi="Arial" w:cs="Arial"/>
          <w:sz w:val="24"/>
          <w:szCs w:val="24"/>
        </w:rPr>
        <w:tab/>
      </w:r>
    </w:p>
    <w:p w:rsidR="00BB44E5" w:rsidRDefault="00C01D71" w:rsidP="00C01D71">
      <w:pPr>
        <w:tabs>
          <w:tab w:val="left" w:pos="4830"/>
          <w:tab w:val="left" w:pos="6180"/>
        </w:tabs>
        <w:jc w:val="left"/>
        <w:rPr>
          <w:rFonts w:ascii="Arial" w:hAnsi="Arial" w:cs="Arial"/>
          <w:sz w:val="24"/>
          <w:szCs w:val="24"/>
        </w:rPr>
      </w:pPr>
      <w:r>
        <w:rPr>
          <w:rFonts w:ascii="Arial" w:hAnsi="Arial" w:cs="Arial"/>
          <w:sz w:val="24"/>
          <w:szCs w:val="24"/>
        </w:rPr>
        <w:tab/>
      </w:r>
    </w:p>
    <w:p w:rsidR="00BB44E5" w:rsidRDefault="00BB44E5" w:rsidP="00514172">
      <w:pPr>
        <w:tabs>
          <w:tab w:val="left" w:pos="4830"/>
        </w:tabs>
        <w:rPr>
          <w:rFonts w:ascii="Arial" w:hAnsi="Arial" w:cs="Arial"/>
          <w:sz w:val="24"/>
          <w:szCs w:val="24"/>
        </w:rPr>
      </w:pPr>
    </w:p>
    <w:p w:rsidR="009160C6" w:rsidRDefault="00BB44E5" w:rsidP="00514172">
      <w:pPr>
        <w:tabs>
          <w:tab w:val="left" w:pos="4830"/>
        </w:tabs>
        <w:rPr>
          <w:rFonts w:ascii="Arial" w:hAnsi="Arial" w:cs="Arial"/>
          <w:sz w:val="24"/>
          <w:szCs w:val="24"/>
        </w:rPr>
      </w:pPr>
      <w:r>
        <w:rPr>
          <w:rFonts w:ascii="Arial" w:hAnsi="Arial" w:cs="Arial"/>
          <w:sz w:val="24"/>
          <w:szCs w:val="24"/>
        </w:rPr>
        <w:t>CURITIBA</w:t>
      </w:r>
    </w:p>
    <w:p w:rsidR="00BB44E5" w:rsidRDefault="00BB44E5" w:rsidP="00514172">
      <w:pPr>
        <w:tabs>
          <w:tab w:val="left" w:pos="4830"/>
        </w:tabs>
        <w:rPr>
          <w:rFonts w:ascii="Arial" w:hAnsi="Arial" w:cs="Arial"/>
          <w:sz w:val="24"/>
          <w:szCs w:val="24"/>
        </w:rPr>
      </w:pPr>
      <w:r>
        <w:rPr>
          <w:rFonts w:ascii="Arial" w:hAnsi="Arial" w:cs="Arial"/>
          <w:sz w:val="24"/>
          <w:szCs w:val="24"/>
        </w:rPr>
        <w:t>2019</w:t>
      </w:r>
    </w:p>
    <w:p w:rsidR="00BC6836" w:rsidRPr="00941B23" w:rsidRDefault="00BC6836" w:rsidP="00BC6836">
      <w:pPr>
        <w:tabs>
          <w:tab w:val="left" w:pos="4830"/>
        </w:tabs>
        <w:rPr>
          <w:rFonts w:ascii="Arial" w:hAnsi="Arial" w:cs="Arial"/>
          <w:b/>
          <w:sz w:val="24"/>
          <w:szCs w:val="24"/>
        </w:rPr>
      </w:pPr>
      <w:r w:rsidRPr="00941B23">
        <w:rPr>
          <w:rFonts w:ascii="Arial" w:hAnsi="Arial" w:cs="Arial"/>
          <w:b/>
          <w:sz w:val="24"/>
          <w:szCs w:val="24"/>
        </w:rPr>
        <w:lastRenderedPageBreak/>
        <w:t>AGRADECIMENTOS</w:t>
      </w:r>
    </w:p>
    <w:p w:rsidR="00BC6836" w:rsidRDefault="00BC6836" w:rsidP="00BC6836">
      <w:pPr>
        <w:tabs>
          <w:tab w:val="left" w:pos="4830"/>
        </w:tabs>
        <w:ind w:firstLine="851"/>
        <w:jc w:val="both"/>
        <w:rPr>
          <w:rFonts w:ascii="Arial" w:hAnsi="Arial" w:cs="Arial"/>
          <w:sz w:val="24"/>
          <w:szCs w:val="24"/>
        </w:rPr>
      </w:pP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A tarefa de agradecer, na acepção mais pura e genuína de seu significado, só tem sentido quando as palavras transcendem qualquer obrigação. Espontânea, a gratidão em relação àqueles que me ampararam nestes cinco anos sintetiza o desejo de retribuir todo o apoio que me foi dado durante esse tempo.</w:t>
      </w: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Agradeço, primeiramente, a Deus, por ter me abençoado e protegido durante todo o caminho, sempre me guiando para o caminho do bem.</w:t>
      </w: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Agradeço</w:t>
      </w:r>
      <w:r w:rsidR="00973B8C">
        <w:rPr>
          <w:rFonts w:ascii="Arial" w:hAnsi="Arial" w:cs="Arial"/>
          <w:sz w:val="24"/>
          <w:szCs w:val="24"/>
        </w:rPr>
        <w:t xml:space="preserve"> à minha família, especialmente</w:t>
      </w:r>
      <w:r w:rsidR="00ED13ED">
        <w:rPr>
          <w:rFonts w:ascii="Arial" w:hAnsi="Arial" w:cs="Arial"/>
          <w:sz w:val="24"/>
          <w:szCs w:val="24"/>
        </w:rPr>
        <w:t xml:space="preserve"> aos meus pais</w:t>
      </w:r>
      <w:r>
        <w:rPr>
          <w:rFonts w:ascii="Arial" w:hAnsi="Arial" w:cs="Arial"/>
          <w:sz w:val="24"/>
          <w:szCs w:val="24"/>
        </w:rPr>
        <w:t>, que pela quarta vez acompanham a formatura em Direito de uma filha. É um privilégio valer-me de minha posição de caçula e poder encerrar esse ciclo com vocês. Muito obrigada por toda a dedicação e esforço dispendidos, incessantemente, para sempre dar a mim e minhas irmãs uma educação de</w:t>
      </w:r>
      <w:r w:rsidR="00D46C63">
        <w:rPr>
          <w:rFonts w:ascii="Arial" w:hAnsi="Arial" w:cs="Arial"/>
          <w:sz w:val="24"/>
          <w:szCs w:val="24"/>
        </w:rPr>
        <w:t xml:space="preserve"> qualidade, baseada na verdade </w:t>
      </w:r>
      <w:r>
        <w:rPr>
          <w:rFonts w:ascii="Arial" w:hAnsi="Arial" w:cs="Arial"/>
          <w:sz w:val="24"/>
          <w:szCs w:val="24"/>
        </w:rPr>
        <w:t xml:space="preserve">e integridade. Afinal, não importa quantos títulos um indivíduo tenha, se não ostentar o mais valioso de todos: o caráter. Vocês são muito mais do que exemplos de ser humano para mim, são a bússola que carrego sempre em meu coração. </w:t>
      </w:r>
    </w:p>
    <w:p w:rsidR="00BC6836" w:rsidRDefault="00ED13ED" w:rsidP="00450984">
      <w:pPr>
        <w:tabs>
          <w:tab w:val="left" w:pos="4830"/>
        </w:tabs>
        <w:ind w:firstLine="709"/>
        <w:jc w:val="both"/>
        <w:rPr>
          <w:rFonts w:ascii="Arial" w:hAnsi="Arial" w:cs="Arial"/>
          <w:sz w:val="24"/>
          <w:szCs w:val="24"/>
        </w:rPr>
      </w:pPr>
      <w:r>
        <w:rPr>
          <w:rFonts w:ascii="Arial" w:hAnsi="Arial" w:cs="Arial"/>
          <w:sz w:val="24"/>
          <w:szCs w:val="24"/>
        </w:rPr>
        <w:t xml:space="preserve">Agradeço às minhas três irmãs, </w:t>
      </w:r>
      <w:r w:rsidR="00BC6836">
        <w:rPr>
          <w:rFonts w:ascii="Arial" w:hAnsi="Arial" w:cs="Arial"/>
          <w:sz w:val="24"/>
          <w:szCs w:val="24"/>
        </w:rPr>
        <w:t xml:space="preserve">que </w:t>
      </w:r>
      <w:r w:rsidR="0072731E">
        <w:rPr>
          <w:rFonts w:ascii="Arial" w:hAnsi="Arial" w:cs="Arial"/>
          <w:sz w:val="24"/>
          <w:szCs w:val="24"/>
        </w:rPr>
        <w:t>sempre</w:t>
      </w:r>
      <w:r w:rsidR="00BC6836">
        <w:rPr>
          <w:rFonts w:ascii="Arial" w:hAnsi="Arial" w:cs="Arial"/>
          <w:sz w:val="24"/>
          <w:szCs w:val="24"/>
        </w:rPr>
        <w:t xml:space="preserve"> </w:t>
      </w:r>
      <w:r w:rsidR="00D46C63">
        <w:rPr>
          <w:rFonts w:ascii="Arial" w:hAnsi="Arial" w:cs="Arial"/>
          <w:sz w:val="24"/>
          <w:szCs w:val="24"/>
        </w:rPr>
        <w:t>compartilharam suas experiências,</w:t>
      </w:r>
      <w:r w:rsidR="0072731E">
        <w:rPr>
          <w:rFonts w:ascii="Arial" w:hAnsi="Arial" w:cs="Arial"/>
          <w:sz w:val="24"/>
          <w:szCs w:val="24"/>
        </w:rPr>
        <w:t xml:space="preserve"> me aconselharam e orientaram</w:t>
      </w:r>
      <w:r w:rsidR="00BC6836">
        <w:rPr>
          <w:rFonts w:ascii="Arial" w:hAnsi="Arial" w:cs="Arial"/>
          <w:sz w:val="24"/>
          <w:szCs w:val="24"/>
        </w:rPr>
        <w:t xml:space="preserve"> para o melhor caminho. Vocês são trevos de quatro folhas que meus cunhados, aos quais também agradeço por todo o apoio, tiveram a sorte de encontrar. </w:t>
      </w: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Agradeço, também, aos meus sobr</w:t>
      </w:r>
      <w:r w:rsidR="00ED13ED">
        <w:rPr>
          <w:rFonts w:ascii="Arial" w:hAnsi="Arial" w:cs="Arial"/>
          <w:sz w:val="24"/>
          <w:szCs w:val="24"/>
        </w:rPr>
        <w:t>inhos</w:t>
      </w:r>
      <w:r>
        <w:rPr>
          <w:rFonts w:ascii="Arial" w:hAnsi="Arial" w:cs="Arial"/>
          <w:sz w:val="24"/>
          <w:szCs w:val="24"/>
        </w:rPr>
        <w:t>, por sempre alegrarem meus dias com tanta doçura e inocência. Espero contribuir para um mundo melhor para vocês no futuro.</w:t>
      </w:r>
    </w:p>
    <w:p w:rsidR="00BC6836" w:rsidRDefault="00ED13ED" w:rsidP="00450984">
      <w:pPr>
        <w:tabs>
          <w:tab w:val="left" w:pos="4830"/>
        </w:tabs>
        <w:ind w:firstLine="709"/>
        <w:jc w:val="both"/>
        <w:rPr>
          <w:rFonts w:ascii="Arial" w:hAnsi="Arial" w:cs="Arial"/>
          <w:sz w:val="24"/>
          <w:szCs w:val="24"/>
        </w:rPr>
      </w:pPr>
      <w:r>
        <w:rPr>
          <w:rFonts w:ascii="Arial" w:hAnsi="Arial" w:cs="Arial"/>
          <w:sz w:val="24"/>
          <w:szCs w:val="24"/>
        </w:rPr>
        <w:t>Agradeço ao meu namorado</w:t>
      </w:r>
      <w:r w:rsidR="00BC6836">
        <w:rPr>
          <w:rFonts w:ascii="Arial" w:hAnsi="Arial" w:cs="Arial"/>
          <w:sz w:val="24"/>
          <w:szCs w:val="24"/>
        </w:rPr>
        <w:t xml:space="preserve">, que com </w:t>
      </w:r>
      <w:r>
        <w:rPr>
          <w:rFonts w:ascii="Arial" w:hAnsi="Arial" w:cs="Arial"/>
          <w:sz w:val="24"/>
          <w:szCs w:val="24"/>
        </w:rPr>
        <w:t xml:space="preserve">amor e carinho me incentivou </w:t>
      </w:r>
      <w:r w:rsidR="00BC6836">
        <w:rPr>
          <w:rFonts w:ascii="Arial" w:hAnsi="Arial" w:cs="Arial"/>
          <w:sz w:val="24"/>
          <w:szCs w:val="24"/>
        </w:rPr>
        <w:t>em tantos momentos, c</w:t>
      </w:r>
      <w:r w:rsidR="001304A9">
        <w:rPr>
          <w:rFonts w:ascii="Arial" w:hAnsi="Arial" w:cs="Arial"/>
          <w:sz w:val="24"/>
          <w:szCs w:val="24"/>
        </w:rPr>
        <w:t>ompartilhando horas de estudos</w:t>
      </w:r>
      <w:r w:rsidR="00BC6836">
        <w:rPr>
          <w:rFonts w:ascii="Arial" w:hAnsi="Arial" w:cs="Arial"/>
          <w:sz w:val="24"/>
          <w:szCs w:val="24"/>
        </w:rPr>
        <w:t>. Tenho certeza que o apoio mútuo e a reciprocidade multiplicarão nossas conquistas e alegrias no caminho que juntos seguiremos.</w:t>
      </w: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Agradeço aos meus amigos, sobretudo Luísa Aranha Hapner</w:t>
      </w:r>
      <w:r w:rsidR="00950FA7">
        <w:rPr>
          <w:rFonts w:ascii="Arial" w:hAnsi="Arial" w:cs="Arial"/>
          <w:sz w:val="24"/>
          <w:szCs w:val="24"/>
        </w:rPr>
        <w:t xml:space="preserve">, Luis Felipe Ibanhes Pereira, </w:t>
      </w:r>
      <w:r>
        <w:rPr>
          <w:rFonts w:ascii="Arial" w:hAnsi="Arial" w:cs="Arial"/>
          <w:sz w:val="24"/>
          <w:szCs w:val="24"/>
        </w:rPr>
        <w:t xml:space="preserve">Gabriel Leon Kmita, </w:t>
      </w:r>
      <w:r w:rsidR="00950FA7">
        <w:rPr>
          <w:rFonts w:ascii="Arial" w:hAnsi="Arial" w:cs="Arial"/>
          <w:sz w:val="24"/>
          <w:szCs w:val="24"/>
        </w:rPr>
        <w:t xml:space="preserve">Giovanna Fantin, Fernanda Abdala Lopes e Marielli Rodrigues, </w:t>
      </w:r>
      <w:r>
        <w:rPr>
          <w:rFonts w:ascii="Arial" w:hAnsi="Arial" w:cs="Arial"/>
          <w:sz w:val="24"/>
          <w:szCs w:val="24"/>
        </w:rPr>
        <w:t xml:space="preserve">com os quais </w:t>
      </w:r>
      <w:r w:rsidR="00950FA7">
        <w:rPr>
          <w:rFonts w:ascii="Arial" w:hAnsi="Arial" w:cs="Arial"/>
          <w:sz w:val="24"/>
          <w:szCs w:val="24"/>
        </w:rPr>
        <w:t xml:space="preserve">partilhei </w:t>
      </w:r>
      <w:r w:rsidR="00DE38A1">
        <w:rPr>
          <w:rFonts w:ascii="Arial" w:hAnsi="Arial" w:cs="Arial"/>
          <w:sz w:val="24"/>
          <w:szCs w:val="24"/>
        </w:rPr>
        <w:t>diversos</w:t>
      </w:r>
      <w:r w:rsidR="00950FA7">
        <w:rPr>
          <w:rFonts w:ascii="Arial" w:hAnsi="Arial" w:cs="Arial"/>
          <w:sz w:val="24"/>
          <w:szCs w:val="24"/>
        </w:rPr>
        <w:t xml:space="preserve"> momentos na faculdade,</w:t>
      </w:r>
      <w:r>
        <w:rPr>
          <w:rFonts w:ascii="Arial" w:hAnsi="Arial" w:cs="Arial"/>
          <w:sz w:val="24"/>
          <w:szCs w:val="24"/>
        </w:rPr>
        <w:t xml:space="preserve"> e, com convicção, posso afirmar que têm um brilhante futuro pela frente.  </w:t>
      </w:r>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 xml:space="preserve">Agradeço, ainda, à irretocável Dra. Simone Cherem Fabrício de Melo, que, com sua excelência profissional e pessoal, serviu-me de inspiração não só para o presente </w:t>
      </w:r>
      <w:r>
        <w:rPr>
          <w:rFonts w:ascii="Arial" w:hAnsi="Arial" w:cs="Arial"/>
          <w:sz w:val="24"/>
          <w:szCs w:val="24"/>
        </w:rPr>
        <w:lastRenderedPageBreak/>
        <w:t>trabalho, mas também para a carreira que desejo seguir no futuro. É um privilégio trabalhar junto a esse exemplo de Magistrada justa, correta e honesta.</w:t>
      </w:r>
    </w:p>
    <w:p w:rsidR="0059092A" w:rsidRPr="000E5B45" w:rsidRDefault="009541B4" w:rsidP="00450984">
      <w:pPr>
        <w:tabs>
          <w:tab w:val="left" w:pos="4830"/>
        </w:tabs>
        <w:ind w:firstLine="709"/>
        <w:jc w:val="both"/>
        <w:rPr>
          <w:rFonts w:ascii="Arial" w:hAnsi="Arial" w:cs="Arial"/>
          <w:sz w:val="24"/>
          <w:szCs w:val="24"/>
        </w:rPr>
      </w:pPr>
      <w:r>
        <w:rPr>
          <w:rFonts w:ascii="Arial" w:hAnsi="Arial" w:cs="Arial"/>
          <w:sz w:val="24"/>
          <w:szCs w:val="24"/>
        </w:rPr>
        <w:t xml:space="preserve">Agradeço </w:t>
      </w:r>
      <w:r w:rsidR="00BC6836">
        <w:rPr>
          <w:rFonts w:ascii="Arial" w:hAnsi="Arial" w:cs="Arial"/>
          <w:sz w:val="24"/>
          <w:szCs w:val="24"/>
        </w:rPr>
        <w:t xml:space="preserve">aos meus professores, </w:t>
      </w:r>
      <w:r w:rsidR="00515177">
        <w:rPr>
          <w:rFonts w:ascii="Arial" w:hAnsi="Arial" w:cs="Arial"/>
          <w:sz w:val="24"/>
          <w:szCs w:val="24"/>
        </w:rPr>
        <w:t>que transmitiram</w:t>
      </w:r>
      <w:r w:rsidR="000E5B45">
        <w:rPr>
          <w:rFonts w:ascii="Arial" w:hAnsi="Arial" w:cs="Arial"/>
          <w:sz w:val="24"/>
          <w:szCs w:val="24"/>
        </w:rPr>
        <w:t xml:space="preserve"> </w:t>
      </w:r>
      <w:r w:rsidR="00515177">
        <w:rPr>
          <w:rFonts w:ascii="Arial" w:hAnsi="Arial" w:cs="Arial"/>
          <w:sz w:val="24"/>
          <w:szCs w:val="24"/>
        </w:rPr>
        <w:t>o</w:t>
      </w:r>
      <w:r w:rsidR="000E5B45">
        <w:rPr>
          <w:rFonts w:ascii="Arial" w:hAnsi="Arial" w:cs="Arial"/>
          <w:sz w:val="24"/>
          <w:szCs w:val="24"/>
        </w:rPr>
        <w:t xml:space="preserve"> conhecimento d</w:t>
      </w:r>
      <w:r w:rsidR="00C65094">
        <w:rPr>
          <w:rFonts w:ascii="Arial" w:hAnsi="Arial" w:cs="Arial"/>
          <w:sz w:val="24"/>
          <w:szCs w:val="24"/>
        </w:rPr>
        <w:t>a</w:t>
      </w:r>
      <w:r w:rsidR="000E5B45">
        <w:rPr>
          <w:rFonts w:ascii="Arial" w:hAnsi="Arial" w:cs="Arial"/>
          <w:sz w:val="24"/>
          <w:szCs w:val="24"/>
        </w:rPr>
        <w:t xml:space="preserve"> forma </w:t>
      </w:r>
      <w:r w:rsidR="00C65094">
        <w:rPr>
          <w:rFonts w:ascii="Arial" w:hAnsi="Arial" w:cs="Arial"/>
          <w:sz w:val="24"/>
          <w:szCs w:val="24"/>
        </w:rPr>
        <w:t xml:space="preserve">mais </w:t>
      </w:r>
      <w:r w:rsidR="000E5B45">
        <w:rPr>
          <w:rFonts w:ascii="Arial" w:hAnsi="Arial" w:cs="Arial"/>
          <w:sz w:val="24"/>
          <w:szCs w:val="24"/>
        </w:rPr>
        <w:t>cativante</w:t>
      </w:r>
      <w:r w:rsidR="00C65094">
        <w:rPr>
          <w:rFonts w:ascii="Arial" w:hAnsi="Arial" w:cs="Arial"/>
          <w:sz w:val="24"/>
          <w:szCs w:val="24"/>
        </w:rPr>
        <w:t xml:space="preserve"> possível</w:t>
      </w:r>
      <w:r w:rsidR="000E5B45">
        <w:rPr>
          <w:rFonts w:ascii="Arial" w:hAnsi="Arial" w:cs="Arial"/>
          <w:sz w:val="24"/>
          <w:szCs w:val="24"/>
        </w:rPr>
        <w:t xml:space="preserve">. </w:t>
      </w:r>
      <w:bookmarkStart w:id="0" w:name="_GoBack"/>
      <w:bookmarkEnd w:id="0"/>
    </w:p>
    <w:p w:rsidR="00BC6836" w:rsidRDefault="00BC6836" w:rsidP="00450984">
      <w:pPr>
        <w:tabs>
          <w:tab w:val="left" w:pos="4830"/>
        </w:tabs>
        <w:ind w:firstLine="709"/>
        <w:jc w:val="both"/>
        <w:rPr>
          <w:rFonts w:ascii="Arial" w:hAnsi="Arial" w:cs="Arial"/>
          <w:sz w:val="24"/>
          <w:szCs w:val="24"/>
        </w:rPr>
      </w:pPr>
      <w:r>
        <w:rPr>
          <w:rFonts w:ascii="Arial" w:hAnsi="Arial" w:cs="Arial"/>
          <w:sz w:val="24"/>
          <w:szCs w:val="24"/>
        </w:rPr>
        <w:t>Por fim, e não menos importante, agrad</w:t>
      </w:r>
      <w:r w:rsidR="009541B4">
        <w:rPr>
          <w:rFonts w:ascii="Arial" w:hAnsi="Arial" w:cs="Arial"/>
          <w:sz w:val="24"/>
          <w:szCs w:val="24"/>
        </w:rPr>
        <w:t xml:space="preserve">eço à sociedade brasileira, que </w:t>
      </w:r>
      <w:r w:rsidR="008F451C">
        <w:rPr>
          <w:rFonts w:ascii="Arial" w:hAnsi="Arial" w:cs="Arial"/>
          <w:sz w:val="24"/>
          <w:szCs w:val="24"/>
        </w:rPr>
        <w:t xml:space="preserve">em meio a tantos problemas </w:t>
      </w:r>
      <w:r>
        <w:rPr>
          <w:rFonts w:ascii="Arial" w:hAnsi="Arial" w:cs="Arial"/>
          <w:sz w:val="24"/>
          <w:szCs w:val="24"/>
        </w:rPr>
        <w:t xml:space="preserve">financiou minha formação na Universidade mais tradicional do País. </w:t>
      </w:r>
    </w:p>
    <w:p w:rsidR="00EF2474" w:rsidRDefault="00EF2474" w:rsidP="00116C02">
      <w:pPr>
        <w:tabs>
          <w:tab w:val="left" w:pos="4830"/>
        </w:tabs>
        <w:jc w:val="both"/>
        <w:rPr>
          <w:rFonts w:ascii="Arial" w:hAnsi="Arial" w:cs="Arial"/>
          <w:sz w:val="24"/>
          <w:szCs w:val="24"/>
        </w:rPr>
      </w:pPr>
    </w:p>
    <w:p w:rsidR="00EF2474" w:rsidRDefault="00EF2474" w:rsidP="00514172">
      <w:pPr>
        <w:tabs>
          <w:tab w:val="left" w:pos="4830"/>
        </w:tabs>
        <w:rPr>
          <w:rFonts w:ascii="Arial" w:hAnsi="Arial" w:cs="Arial"/>
          <w:sz w:val="24"/>
          <w:szCs w:val="24"/>
        </w:rPr>
      </w:pPr>
    </w:p>
    <w:p w:rsidR="00EF2474" w:rsidRDefault="00EF2474" w:rsidP="00514172">
      <w:pPr>
        <w:tabs>
          <w:tab w:val="left" w:pos="4830"/>
        </w:tabs>
        <w:rPr>
          <w:rFonts w:ascii="Arial" w:hAnsi="Arial" w:cs="Arial"/>
          <w:sz w:val="24"/>
          <w:szCs w:val="24"/>
        </w:rPr>
      </w:pPr>
    </w:p>
    <w:p w:rsidR="00EF2474" w:rsidRDefault="00EF2474" w:rsidP="00514172">
      <w:pPr>
        <w:tabs>
          <w:tab w:val="left" w:pos="4830"/>
        </w:tabs>
        <w:rPr>
          <w:rFonts w:ascii="Arial" w:hAnsi="Arial" w:cs="Arial"/>
          <w:sz w:val="24"/>
          <w:szCs w:val="24"/>
        </w:rPr>
      </w:pPr>
    </w:p>
    <w:p w:rsidR="0072731E" w:rsidRDefault="0072731E" w:rsidP="00514172">
      <w:pPr>
        <w:tabs>
          <w:tab w:val="left" w:pos="4830"/>
        </w:tabs>
        <w:rPr>
          <w:rFonts w:ascii="Arial" w:hAnsi="Arial" w:cs="Arial"/>
          <w:sz w:val="24"/>
          <w:szCs w:val="24"/>
        </w:rPr>
      </w:pPr>
    </w:p>
    <w:p w:rsidR="00116C02" w:rsidRDefault="00116C02" w:rsidP="00514172">
      <w:pPr>
        <w:tabs>
          <w:tab w:val="left" w:pos="4830"/>
        </w:tabs>
        <w:rPr>
          <w:rFonts w:ascii="Arial" w:hAnsi="Arial" w:cs="Arial"/>
          <w:sz w:val="24"/>
          <w:szCs w:val="24"/>
        </w:rPr>
      </w:pPr>
      <w:r>
        <w:rPr>
          <w:rFonts w:ascii="Arial" w:hAnsi="Arial" w:cs="Arial"/>
          <w:sz w:val="24"/>
          <w:szCs w:val="24"/>
        </w:rPr>
        <w:br w:type="page"/>
      </w:r>
    </w:p>
    <w:p w:rsidR="00EF2474" w:rsidRDefault="00EF2474" w:rsidP="00EF2474">
      <w:pPr>
        <w:tabs>
          <w:tab w:val="left" w:pos="4830"/>
        </w:tabs>
        <w:rPr>
          <w:rFonts w:ascii="Arial" w:hAnsi="Arial" w:cs="Arial"/>
          <w:b/>
          <w:sz w:val="24"/>
          <w:szCs w:val="24"/>
        </w:rPr>
      </w:pPr>
      <w:r w:rsidRPr="00BB44E5">
        <w:rPr>
          <w:rFonts w:ascii="Arial" w:hAnsi="Arial" w:cs="Arial"/>
          <w:b/>
          <w:sz w:val="24"/>
          <w:szCs w:val="24"/>
        </w:rPr>
        <w:lastRenderedPageBreak/>
        <w:t>RESUMO</w:t>
      </w:r>
    </w:p>
    <w:p w:rsidR="00EF2474" w:rsidRDefault="00EF2474" w:rsidP="00EF2474">
      <w:pPr>
        <w:tabs>
          <w:tab w:val="left" w:pos="4830"/>
        </w:tabs>
        <w:rPr>
          <w:rFonts w:ascii="Arial" w:hAnsi="Arial" w:cs="Arial"/>
          <w:b/>
          <w:sz w:val="24"/>
          <w:szCs w:val="24"/>
        </w:rPr>
      </w:pPr>
    </w:p>
    <w:p w:rsidR="00EF2474" w:rsidRPr="00A54C34" w:rsidRDefault="00EF2474" w:rsidP="00EF2474">
      <w:pPr>
        <w:tabs>
          <w:tab w:val="left" w:pos="4830"/>
        </w:tabs>
        <w:spacing w:line="240" w:lineRule="auto"/>
        <w:ind w:firstLine="709"/>
        <w:jc w:val="both"/>
        <w:rPr>
          <w:rFonts w:ascii="Arial" w:hAnsi="Arial" w:cs="Arial"/>
          <w:color w:val="FF0000"/>
          <w:sz w:val="24"/>
          <w:szCs w:val="24"/>
        </w:rPr>
      </w:pPr>
      <w:r>
        <w:rPr>
          <w:rFonts w:ascii="Arial" w:hAnsi="Arial" w:cs="Arial"/>
          <w:sz w:val="24"/>
          <w:szCs w:val="24"/>
        </w:rPr>
        <w:t>O presente artigo científico analisa a compreensão da Segunda Seção do Superior Tribunal de Justiça (STJ) no tocante à consideração do cônjuge sobrevivente como</w:t>
      </w:r>
      <w:r w:rsidR="002431D9">
        <w:rPr>
          <w:rFonts w:ascii="Arial" w:hAnsi="Arial" w:cs="Arial"/>
          <w:sz w:val="24"/>
          <w:szCs w:val="24"/>
        </w:rPr>
        <w:t xml:space="preserve"> concorrente com os descendentes do falecido sobre seu acervo hereditário,</w:t>
      </w:r>
      <w:r>
        <w:rPr>
          <w:rFonts w:ascii="Arial" w:hAnsi="Arial" w:cs="Arial"/>
          <w:sz w:val="24"/>
          <w:szCs w:val="24"/>
        </w:rPr>
        <w:t xml:space="preserve"> na hipótese de o casamento ter sido celebrado sob o regime de separação convencional de bens. Primeiramente, especifica-se as diferentes espécies de regime de bens no direito brasileiro e explica-se o sistema sucessório. </w:t>
      </w:r>
      <w:r w:rsidR="00A11849">
        <w:rPr>
          <w:rFonts w:ascii="Arial" w:hAnsi="Arial" w:cs="Arial"/>
          <w:sz w:val="24"/>
          <w:szCs w:val="24"/>
        </w:rPr>
        <w:t>Em seguida, e</w:t>
      </w:r>
      <w:r>
        <w:rPr>
          <w:rFonts w:ascii="Arial" w:hAnsi="Arial" w:cs="Arial"/>
          <w:sz w:val="24"/>
          <w:szCs w:val="24"/>
        </w:rPr>
        <w:t>xamina-se, mediante uma abordagem comparativa, os fundamentos das divergentes correntes hermenêuticas tangentes ao tema</w:t>
      </w:r>
      <w:r w:rsidR="00E866D9">
        <w:rPr>
          <w:rFonts w:ascii="Arial" w:hAnsi="Arial" w:cs="Arial"/>
          <w:sz w:val="24"/>
          <w:szCs w:val="24"/>
        </w:rPr>
        <w:t xml:space="preserve"> ora em análise</w:t>
      </w:r>
      <w:r>
        <w:rPr>
          <w:rFonts w:ascii="Arial" w:hAnsi="Arial" w:cs="Arial"/>
          <w:sz w:val="24"/>
          <w:szCs w:val="24"/>
        </w:rPr>
        <w:t xml:space="preserve">. Além disso, rememora-se o pregresso entendimento da 3ª Turma do STJ, o qual estabelecia que a separação convencional de bens estipulada em vida se aplicaria, também, para fins de sucessão </w:t>
      </w:r>
      <w:r>
        <w:rPr>
          <w:rFonts w:ascii="Arial" w:hAnsi="Arial" w:cs="Arial"/>
          <w:i/>
          <w:sz w:val="24"/>
          <w:szCs w:val="24"/>
        </w:rPr>
        <w:t>causa mortis</w:t>
      </w:r>
      <w:r>
        <w:rPr>
          <w:rFonts w:ascii="Arial" w:hAnsi="Arial" w:cs="Arial"/>
          <w:sz w:val="24"/>
          <w:szCs w:val="24"/>
        </w:rPr>
        <w:t>. Ademais, examina-se o Recurso Especial nº 1.382.170/SP, julgado pela Segunda Seção do STJ, que, na contramão do entendimento anterior, definiu que o cônjuge supérstite concorre com os descendentes do autor da herança na partilha dos bens deixados pelo falecido</w:t>
      </w:r>
      <w:r w:rsidR="00B348D0">
        <w:rPr>
          <w:rFonts w:ascii="Arial" w:hAnsi="Arial" w:cs="Arial"/>
          <w:sz w:val="24"/>
          <w:szCs w:val="24"/>
        </w:rPr>
        <w:t>.</w:t>
      </w:r>
      <w:r w:rsidRPr="00346965">
        <w:rPr>
          <w:rFonts w:ascii="Arial" w:hAnsi="Arial" w:cs="Arial"/>
          <w:sz w:val="24"/>
          <w:szCs w:val="24"/>
        </w:rPr>
        <w:t xml:space="preserve"> </w:t>
      </w:r>
      <w:r w:rsidR="008F451C">
        <w:rPr>
          <w:rFonts w:ascii="Arial" w:hAnsi="Arial" w:cs="Arial"/>
          <w:sz w:val="24"/>
          <w:szCs w:val="24"/>
        </w:rPr>
        <w:t>Por fim, estuda-se</w:t>
      </w:r>
      <w:r w:rsidRPr="00346965">
        <w:rPr>
          <w:rFonts w:ascii="Arial" w:hAnsi="Arial" w:cs="Arial"/>
          <w:sz w:val="24"/>
          <w:szCs w:val="24"/>
        </w:rPr>
        <w:t xml:space="preserve"> quais são as </w:t>
      </w:r>
      <w:r w:rsidR="00B348D0">
        <w:rPr>
          <w:rFonts w:ascii="Arial" w:hAnsi="Arial" w:cs="Arial"/>
          <w:sz w:val="24"/>
          <w:szCs w:val="24"/>
        </w:rPr>
        <w:t xml:space="preserve">propostas de solução para o referido embate, </w:t>
      </w:r>
      <w:r>
        <w:rPr>
          <w:rFonts w:ascii="Arial" w:hAnsi="Arial" w:cs="Arial"/>
          <w:sz w:val="24"/>
          <w:szCs w:val="24"/>
        </w:rPr>
        <w:t>sobretudo no tocante à autonomia da vontade do cônjuge falecido.</w:t>
      </w:r>
    </w:p>
    <w:p w:rsidR="00EF2474" w:rsidRPr="00A54C34" w:rsidRDefault="00EF2474" w:rsidP="00EF2474">
      <w:pPr>
        <w:tabs>
          <w:tab w:val="left" w:pos="4830"/>
        </w:tabs>
        <w:ind w:firstLine="851"/>
        <w:jc w:val="both"/>
        <w:rPr>
          <w:rFonts w:ascii="Arial" w:hAnsi="Arial" w:cs="Arial"/>
          <w:color w:val="FF0000"/>
          <w:sz w:val="24"/>
          <w:szCs w:val="24"/>
        </w:rPr>
      </w:pPr>
    </w:p>
    <w:p w:rsidR="00EF2474" w:rsidRDefault="00FF340E" w:rsidP="00EF2474">
      <w:pPr>
        <w:tabs>
          <w:tab w:val="left" w:pos="4830"/>
        </w:tabs>
        <w:spacing w:line="240" w:lineRule="auto"/>
        <w:jc w:val="both"/>
        <w:rPr>
          <w:rFonts w:ascii="Arial" w:hAnsi="Arial" w:cs="Arial"/>
          <w:sz w:val="24"/>
          <w:szCs w:val="24"/>
        </w:rPr>
      </w:pPr>
      <w:r>
        <w:rPr>
          <w:rFonts w:ascii="Arial" w:hAnsi="Arial" w:cs="Arial"/>
          <w:sz w:val="24"/>
          <w:szCs w:val="24"/>
        </w:rPr>
        <w:t>Palavras-chave: Sucessão</w:t>
      </w:r>
      <w:r w:rsidR="00EF2474">
        <w:rPr>
          <w:rFonts w:ascii="Arial" w:hAnsi="Arial" w:cs="Arial"/>
          <w:i/>
          <w:sz w:val="24"/>
          <w:szCs w:val="24"/>
        </w:rPr>
        <w:t>.</w:t>
      </w:r>
      <w:r w:rsidR="009C76E1">
        <w:rPr>
          <w:rFonts w:ascii="Arial" w:hAnsi="Arial" w:cs="Arial"/>
          <w:sz w:val="24"/>
          <w:szCs w:val="24"/>
        </w:rPr>
        <w:t xml:space="preserve"> Regime de bens</w:t>
      </w:r>
      <w:r w:rsidR="00EF2474">
        <w:rPr>
          <w:rFonts w:ascii="Arial" w:hAnsi="Arial" w:cs="Arial"/>
          <w:sz w:val="24"/>
          <w:szCs w:val="24"/>
        </w:rPr>
        <w:t>. Cônjuge. Supérstite. Herdeiro necessário.</w:t>
      </w:r>
    </w:p>
    <w:p w:rsidR="00EF2474" w:rsidRDefault="00EF2474" w:rsidP="00EF2474">
      <w:pPr>
        <w:tabs>
          <w:tab w:val="left" w:pos="4830"/>
        </w:tabs>
        <w:ind w:firstLine="851"/>
        <w:jc w:val="both"/>
        <w:rPr>
          <w:rFonts w:ascii="Arial" w:hAnsi="Arial" w:cs="Arial"/>
          <w:sz w:val="24"/>
          <w:szCs w:val="24"/>
        </w:rPr>
      </w:pPr>
    </w:p>
    <w:p w:rsidR="00EF2474" w:rsidRDefault="00EF2474" w:rsidP="00EF2474">
      <w:pPr>
        <w:tabs>
          <w:tab w:val="left" w:pos="4830"/>
        </w:tabs>
        <w:ind w:firstLine="851"/>
        <w:jc w:val="both"/>
        <w:rPr>
          <w:rFonts w:ascii="Arial" w:hAnsi="Arial" w:cs="Arial"/>
          <w:sz w:val="24"/>
          <w:szCs w:val="24"/>
        </w:rPr>
      </w:pPr>
    </w:p>
    <w:p w:rsidR="00EF2474" w:rsidRDefault="00116C02" w:rsidP="0021369E">
      <w:pPr>
        <w:tabs>
          <w:tab w:val="left" w:pos="4830"/>
        </w:tabs>
        <w:jc w:val="both"/>
        <w:rPr>
          <w:rFonts w:ascii="Arial" w:hAnsi="Arial" w:cs="Arial"/>
          <w:b/>
          <w:sz w:val="24"/>
          <w:szCs w:val="24"/>
        </w:rPr>
      </w:pPr>
      <w:r>
        <w:rPr>
          <w:rFonts w:ascii="Arial" w:hAnsi="Arial" w:cs="Arial"/>
          <w:sz w:val="24"/>
          <w:szCs w:val="24"/>
        </w:rPr>
        <w:br w:type="page"/>
      </w:r>
    </w:p>
    <w:p w:rsidR="00116C02" w:rsidRPr="00FF340E" w:rsidRDefault="00116C02" w:rsidP="00116C02">
      <w:pPr>
        <w:pStyle w:val="Ttulopr-textual"/>
        <w:rPr>
          <w:lang w:val="en-US"/>
        </w:rPr>
      </w:pPr>
      <w:bookmarkStart w:id="1" w:name="_Toc257729052"/>
      <w:bookmarkStart w:id="2" w:name="_Toc257729440"/>
      <w:bookmarkStart w:id="3" w:name="_Toc257729477"/>
      <w:r w:rsidRPr="00FF340E">
        <w:rPr>
          <w:lang w:val="en-US"/>
        </w:rPr>
        <w:lastRenderedPageBreak/>
        <w:t>ABSTRACT</w:t>
      </w:r>
      <w:bookmarkEnd w:id="1"/>
      <w:bookmarkEnd w:id="2"/>
      <w:bookmarkEnd w:id="3"/>
    </w:p>
    <w:p w:rsidR="00116C02" w:rsidRDefault="00116C02" w:rsidP="00116C02">
      <w:pPr>
        <w:pStyle w:val="Texto"/>
        <w:rPr>
          <w:lang w:val="en-US"/>
        </w:rPr>
      </w:pPr>
    </w:p>
    <w:p w:rsidR="00696F59" w:rsidRDefault="00173D97" w:rsidP="00696F59">
      <w:pPr>
        <w:pStyle w:val="Texto"/>
        <w:spacing w:line="240" w:lineRule="auto"/>
        <w:rPr>
          <w:lang w:val="en-US"/>
        </w:rPr>
      </w:pPr>
      <w:r>
        <w:rPr>
          <w:lang w:val="en-US"/>
        </w:rPr>
        <w:t>This scientific article examines the understanding of the Second Section of the Superior Court of Justice (STJ) regarding the consideration of the surviving spouse as competing with the deceased’s descendants over his or her inheritance, in the event that the marriage was celebrated under the conventional seperaion of goods regime. First, will be specifyied the dfferent types of property regime in Brazilian law, explaining the succession system. Next, will be examined, by means of a comparative approach, the foundations of the divergent hermeneutic currents that are tangent to the subject under analysis. In addition, the previous understanding of the 3</w:t>
      </w:r>
      <w:r w:rsidRPr="00173D97">
        <w:rPr>
          <w:vertAlign w:val="superscript"/>
          <w:lang w:val="en-US"/>
        </w:rPr>
        <w:t>rd</w:t>
      </w:r>
      <w:r>
        <w:rPr>
          <w:lang w:val="en-US"/>
        </w:rPr>
        <w:t xml:space="preserve"> Panel of the STJ, which established that the conventional separation of goods stipulated in life would be applied also for the purposes of succession </w:t>
      </w:r>
      <w:r>
        <w:rPr>
          <w:i/>
          <w:lang w:val="en-US"/>
        </w:rPr>
        <w:t>causa mortis</w:t>
      </w:r>
      <w:r>
        <w:rPr>
          <w:lang w:val="en-US"/>
        </w:rPr>
        <w:t>, is recalled. Besides, will be examined the Special Appeal No. 1.382.170/SP, judged by the Second Section of the STJ, which</w:t>
      </w:r>
      <w:r w:rsidR="00696F59">
        <w:rPr>
          <w:lang w:val="en-US"/>
        </w:rPr>
        <w:t>, contrary to the previous understanding, ruled that the superstitious spouse competes with the descendants of the inheritor in sharing the property left by the deceased. Finally, it is studied what are the proposed solutions for this fight, especially regarding the autonomy of the deceased spouse’s will.</w:t>
      </w:r>
      <w:bookmarkStart w:id="4" w:name="_Toc257729053"/>
      <w:bookmarkStart w:id="5" w:name="_Toc257729441"/>
      <w:bookmarkStart w:id="6" w:name="_Toc257729478"/>
      <w:bookmarkStart w:id="7" w:name="_Toc266864377"/>
      <w:bookmarkStart w:id="8" w:name="_Toc266865619"/>
    </w:p>
    <w:p w:rsidR="00696F59" w:rsidRDefault="00696F59" w:rsidP="00696F59">
      <w:pPr>
        <w:pStyle w:val="Texto"/>
        <w:spacing w:line="240" w:lineRule="auto"/>
        <w:rPr>
          <w:lang w:val="en-US"/>
        </w:rPr>
      </w:pPr>
    </w:p>
    <w:p w:rsidR="00FF340E" w:rsidRPr="00696F59" w:rsidRDefault="00116C02" w:rsidP="00696F59">
      <w:pPr>
        <w:pStyle w:val="Texto"/>
        <w:spacing w:line="240" w:lineRule="auto"/>
        <w:ind w:firstLine="0"/>
        <w:rPr>
          <w:lang w:val="en-US"/>
        </w:rPr>
      </w:pPr>
      <w:r w:rsidRPr="00561E7E">
        <w:rPr>
          <w:rFonts w:cs="Arial"/>
          <w:szCs w:val="24"/>
          <w:lang w:val="en-US"/>
        </w:rPr>
        <w:t xml:space="preserve">Keywords: </w:t>
      </w:r>
      <w:bookmarkEnd w:id="4"/>
      <w:bookmarkEnd w:id="5"/>
      <w:bookmarkEnd w:id="6"/>
      <w:bookmarkEnd w:id="7"/>
      <w:bookmarkEnd w:id="8"/>
      <w:r w:rsidR="00FF340E" w:rsidRPr="00561E7E">
        <w:rPr>
          <w:rFonts w:cs="Arial"/>
          <w:szCs w:val="24"/>
          <w:lang w:val="en"/>
        </w:rPr>
        <w:t>Succession. Goods regime. Spouse. Supstitis. Needed heir</w:t>
      </w:r>
      <w:r w:rsidR="00FF340E">
        <w:rPr>
          <w:rFonts w:cs="Arial"/>
          <w:color w:val="222222"/>
          <w:szCs w:val="24"/>
          <w:lang w:val="en"/>
        </w:rPr>
        <w:t>.</w:t>
      </w:r>
    </w:p>
    <w:p w:rsidR="00116C02" w:rsidRPr="00AF73D3" w:rsidRDefault="00116C02" w:rsidP="00116C02">
      <w:pPr>
        <w:pStyle w:val="Corpodetexto2"/>
        <w:ind w:left="1276" w:hanging="1276"/>
      </w:pPr>
    </w:p>
    <w:p w:rsidR="00116C02" w:rsidRPr="00AF73D3" w:rsidRDefault="00116C02" w:rsidP="00116C02">
      <w:pPr>
        <w:pStyle w:val="Resumo"/>
      </w:pPr>
    </w:p>
    <w:p w:rsidR="00116C02" w:rsidRPr="00AF73D3" w:rsidRDefault="00116C02" w:rsidP="00116C02">
      <w:pPr>
        <w:pStyle w:val="Resumo"/>
      </w:pPr>
    </w:p>
    <w:p w:rsidR="00116C02" w:rsidRDefault="00116C02" w:rsidP="00116C02">
      <w:pPr>
        <w:pStyle w:val="Ttulopr-textual"/>
      </w:pPr>
      <w:r w:rsidRPr="00AF73D3">
        <w:br w:type="page"/>
      </w:r>
      <w:r w:rsidRPr="00800D75">
        <w:lastRenderedPageBreak/>
        <w:t>SUMÁRIO</w:t>
      </w:r>
    </w:p>
    <w:p w:rsidR="00AF73D3" w:rsidRDefault="00AF73D3" w:rsidP="00AF73D3">
      <w:pPr>
        <w:pStyle w:val="Texto"/>
      </w:pPr>
    </w:p>
    <w:p w:rsidR="00AF73D3" w:rsidRDefault="00AF73D3" w:rsidP="00E83AD4">
      <w:pPr>
        <w:pStyle w:val="Texto"/>
        <w:numPr>
          <w:ilvl w:val="0"/>
          <w:numId w:val="1"/>
        </w:numPr>
        <w:ind w:left="0" w:hanging="11"/>
        <w:rPr>
          <w:b/>
        </w:rPr>
      </w:pPr>
      <w:r>
        <w:rPr>
          <w:b/>
        </w:rPr>
        <w:t>INTRODUÇÃO ..............................................................</w:t>
      </w:r>
      <w:r w:rsidR="00E83AD4">
        <w:rPr>
          <w:b/>
        </w:rPr>
        <w:t>.................................</w:t>
      </w:r>
      <w:r>
        <w:rPr>
          <w:b/>
        </w:rPr>
        <w:t>..7</w:t>
      </w:r>
    </w:p>
    <w:p w:rsidR="00AF73D3" w:rsidRDefault="00AF73D3" w:rsidP="00E83AD4">
      <w:pPr>
        <w:pStyle w:val="Texto"/>
        <w:numPr>
          <w:ilvl w:val="0"/>
          <w:numId w:val="1"/>
        </w:numPr>
        <w:ind w:left="0" w:hanging="11"/>
        <w:rPr>
          <w:b/>
        </w:rPr>
      </w:pPr>
      <w:r>
        <w:rPr>
          <w:b/>
        </w:rPr>
        <w:t xml:space="preserve">OS REGIMES DE BENS NO DIREITO BRASILEIRO </w:t>
      </w:r>
      <w:r w:rsidR="00E83AD4">
        <w:rPr>
          <w:b/>
        </w:rPr>
        <w:t>................................</w:t>
      </w:r>
      <w:r w:rsidR="00A34C10">
        <w:rPr>
          <w:b/>
        </w:rPr>
        <w:t>..</w:t>
      </w:r>
      <w:r w:rsidR="00E83AD4">
        <w:rPr>
          <w:b/>
        </w:rPr>
        <w:t>.</w:t>
      </w:r>
      <w:r w:rsidR="00A34C10">
        <w:rPr>
          <w:b/>
        </w:rPr>
        <w:t>.</w:t>
      </w:r>
      <w:r>
        <w:rPr>
          <w:b/>
        </w:rPr>
        <w:t>8</w:t>
      </w:r>
    </w:p>
    <w:p w:rsidR="00AF73D3" w:rsidRDefault="00E83AD4" w:rsidP="00E83AD4">
      <w:pPr>
        <w:pStyle w:val="Texto"/>
        <w:ind w:firstLine="0"/>
      </w:pPr>
      <w:r w:rsidRPr="00E83AD4">
        <w:t xml:space="preserve">2.1 </w:t>
      </w:r>
      <w:r>
        <w:t xml:space="preserve">     CONTEXTO ...................................................................................................</w:t>
      </w:r>
      <w:r w:rsidR="00A34C10">
        <w:t>.</w:t>
      </w:r>
      <w:r>
        <w:t>.</w:t>
      </w:r>
      <w:r w:rsidR="002B0302">
        <w:t>8</w:t>
      </w:r>
    </w:p>
    <w:p w:rsidR="00E83AD4" w:rsidRDefault="00E83AD4" w:rsidP="00E83AD4">
      <w:pPr>
        <w:pStyle w:val="Texto"/>
        <w:ind w:firstLine="0"/>
      </w:pPr>
      <w:r>
        <w:t>2.2      COMUNHÃO UNIVERSAL DE BENS .............................................................</w:t>
      </w:r>
      <w:r w:rsidR="002B0302">
        <w:t>10</w:t>
      </w:r>
    </w:p>
    <w:p w:rsidR="00E83AD4" w:rsidRPr="00E83AD4" w:rsidRDefault="00E83AD4" w:rsidP="00E83AD4">
      <w:pPr>
        <w:pStyle w:val="Texto"/>
        <w:ind w:firstLine="0"/>
      </w:pPr>
      <w:r>
        <w:t>2.3      COMUNHÃO PARCIAL DE BENS ..................................................................11</w:t>
      </w:r>
    </w:p>
    <w:p w:rsidR="00116C02" w:rsidRDefault="00795514" w:rsidP="00116C02">
      <w:pPr>
        <w:pStyle w:val="Texto"/>
        <w:ind w:firstLine="0"/>
      </w:pPr>
      <w:r>
        <w:t>2.4      SEPARAÇÃO DE BENS ................................................................................ 12</w:t>
      </w:r>
    </w:p>
    <w:p w:rsidR="00795514" w:rsidRDefault="00795514" w:rsidP="00116C02">
      <w:pPr>
        <w:pStyle w:val="Texto"/>
        <w:ind w:firstLine="0"/>
      </w:pPr>
      <w:r>
        <w:t>2.4.1   SEPARAÇÃO LEGAL DE BENS .................................................................... 13</w:t>
      </w:r>
    </w:p>
    <w:p w:rsidR="00795514" w:rsidRDefault="00795514" w:rsidP="00116C02">
      <w:pPr>
        <w:pStyle w:val="Texto"/>
        <w:ind w:firstLine="0"/>
      </w:pPr>
      <w:r>
        <w:t>2.4.2   SEPARAÇÃO CONVENCIONAL DE BENS ................................................... 14</w:t>
      </w:r>
    </w:p>
    <w:p w:rsidR="00795514" w:rsidRDefault="00A34C10" w:rsidP="00A34C10">
      <w:pPr>
        <w:pStyle w:val="Texto"/>
        <w:numPr>
          <w:ilvl w:val="0"/>
          <w:numId w:val="1"/>
        </w:numPr>
        <w:ind w:left="0" w:firstLine="0"/>
        <w:rPr>
          <w:b/>
        </w:rPr>
      </w:pPr>
      <w:r>
        <w:rPr>
          <w:b/>
        </w:rPr>
        <w:t>MEAÇÃO X HERANÇA .................................................................................. 15</w:t>
      </w:r>
    </w:p>
    <w:p w:rsidR="00A34C10" w:rsidRDefault="00A34C10" w:rsidP="00A34C10">
      <w:pPr>
        <w:pStyle w:val="Texto"/>
        <w:numPr>
          <w:ilvl w:val="0"/>
          <w:numId w:val="1"/>
        </w:numPr>
        <w:ind w:left="0" w:firstLine="0"/>
        <w:rPr>
          <w:b/>
        </w:rPr>
      </w:pPr>
      <w:r>
        <w:rPr>
          <w:b/>
        </w:rPr>
        <w:t>DA ELEVAÇÃO DO CÔNJUGE SUPÉRSTITE AO STATUS DE HERDEIRO NECESSÁRIO ...........................................................................................................16</w:t>
      </w:r>
    </w:p>
    <w:p w:rsidR="00307A6E" w:rsidRDefault="00307A6E" w:rsidP="00A34C10">
      <w:pPr>
        <w:pStyle w:val="Texto"/>
        <w:numPr>
          <w:ilvl w:val="0"/>
          <w:numId w:val="1"/>
        </w:numPr>
        <w:ind w:left="0" w:firstLine="0"/>
        <w:rPr>
          <w:b/>
        </w:rPr>
      </w:pPr>
      <w:r>
        <w:rPr>
          <w:b/>
        </w:rPr>
        <w:t>PRESERVAÇÃO DA AUTONO</w:t>
      </w:r>
      <w:r w:rsidR="00580859">
        <w:rPr>
          <w:b/>
        </w:rPr>
        <w:t>MIA DA VONTADE DECLARADA EM VIDA ....................................................................</w:t>
      </w:r>
      <w:r>
        <w:rPr>
          <w:b/>
        </w:rPr>
        <w:t>..................................</w:t>
      </w:r>
      <w:r w:rsidR="00A52834">
        <w:rPr>
          <w:b/>
        </w:rPr>
        <w:t>..............................21</w:t>
      </w:r>
    </w:p>
    <w:p w:rsidR="00A34C10" w:rsidRDefault="00F22203" w:rsidP="00116C02">
      <w:pPr>
        <w:pStyle w:val="Texto"/>
        <w:numPr>
          <w:ilvl w:val="0"/>
          <w:numId w:val="1"/>
        </w:numPr>
        <w:ind w:left="0" w:firstLine="0"/>
        <w:rPr>
          <w:b/>
        </w:rPr>
      </w:pPr>
      <w:r>
        <w:rPr>
          <w:b/>
        </w:rPr>
        <w:t>RECURSO ESPECIAL Nº 992.749/MS – VALORIZAÇÃO DA VONTADE DOS CÔNJUGES ...............................................................................................................23</w:t>
      </w:r>
    </w:p>
    <w:p w:rsidR="00F22203" w:rsidRDefault="00F22203" w:rsidP="00116C02">
      <w:pPr>
        <w:pStyle w:val="Texto"/>
        <w:numPr>
          <w:ilvl w:val="0"/>
          <w:numId w:val="1"/>
        </w:numPr>
        <w:ind w:left="0" w:firstLine="0"/>
        <w:rPr>
          <w:b/>
        </w:rPr>
      </w:pPr>
      <w:r>
        <w:rPr>
          <w:b/>
        </w:rPr>
        <w:t>CÔNJUGE SOBREVIVENTE COMO HERDEIRO NECESSÁRIO ......................</w:t>
      </w:r>
      <w:r w:rsidR="00580859">
        <w:rPr>
          <w:b/>
        </w:rPr>
        <w:t>.............................................</w:t>
      </w:r>
      <w:r>
        <w:rPr>
          <w:b/>
        </w:rPr>
        <w:t>...................................</w:t>
      </w:r>
      <w:r w:rsidR="00A167F9">
        <w:rPr>
          <w:b/>
        </w:rPr>
        <w:t>..............................25</w:t>
      </w:r>
    </w:p>
    <w:p w:rsidR="00F22203" w:rsidRDefault="00307FF9" w:rsidP="00116C02">
      <w:pPr>
        <w:pStyle w:val="Texto"/>
        <w:numPr>
          <w:ilvl w:val="0"/>
          <w:numId w:val="1"/>
        </w:numPr>
        <w:ind w:left="0" w:firstLine="0"/>
        <w:rPr>
          <w:b/>
        </w:rPr>
      </w:pPr>
      <w:r>
        <w:rPr>
          <w:b/>
        </w:rPr>
        <w:t xml:space="preserve">RECURSO ESPECIAL Nº 1.382.170/SP – </w:t>
      </w:r>
      <w:r w:rsidR="00271DE5">
        <w:rPr>
          <w:b/>
        </w:rPr>
        <w:t xml:space="preserve">PROTEÇÃO AO CÔNJUGE SUPÉRSTITE </w:t>
      </w:r>
      <w:r w:rsidR="002B0302">
        <w:rPr>
          <w:b/>
        </w:rPr>
        <w:t>..............................................................................</w:t>
      </w:r>
      <w:r w:rsidR="00FD252B">
        <w:rPr>
          <w:b/>
        </w:rPr>
        <w:t>..............................28</w:t>
      </w:r>
    </w:p>
    <w:p w:rsidR="00307FF9" w:rsidRPr="00C85A94" w:rsidRDefault="000A02A6" w:rsidP="00116C02">
      <w:pPr>
        <w:pStyle w:val="Texto"/>
        <w:numPr>
          <w:ilvl w:val="0"/>
          <w:numId w:val="1"/>
        </w:numPr>
        <w:ind w:left="0" w:firstLine="0"/>
        <w:rPr>
          <w:b/>
        </w:rPr>
      </w:pPr>
      <w:r>
        <w:rPr>
          <w:b/>
        </w:rPr>
        <w:t>NECESSIDADE DE ALTERAÇÃO LEGISLATIVA ...............................</w:t>
      </w:r>
      <w:r w:rsidR="005E6A94" w:rsidRPr="00C85A94">
        <w:rPr>
          <w:b/>
        </w:rPr>
        <w:t>.....</w:t>
      </w:r>
      <w:r w:rsidR="00706598" w:rsidRPr="00C85A94">
        <w:rPr>
          <w:b/>
        </w:rPr>
        <w:t>.</w:t>
      </w:r>
      <w:r w:rsidR="005E6A94" w:rsidRPr="00C85A94">
        <w:rPr>
          <w:b/>
        </w:rPr>
        <w:t>...29</w:t>
      </w:r>
    </w:p>
    <w:p w:rsidR="00307FF9" w:rsidRDefault="00307FF9" w:rsidP="00307FF9">
      <w:pPr>
        <w:pStyle w:val="Texto"/>
        <w:numPr>
          <w:ilvl w:val="0"/>
          <w:numId w:val="1"/>
        </w:numPr>
        <w:ind w:left="0" w:firstLine="0"/>
        <w:rPr>
          <w:b/>
        </w:rPr>
      </w:pPr>
      <w:r>
        <w:rPr>
          <w:b/>
        </w:rPr>
        <w:t>CONCLUSÃO</w:t>
      </w:r>
      <w:r w:rsidR="00271DE5">
        <w:rPr>
          <w:b/>
        </w:rPr>
        <w:t xml:space="preserve"> ...................................................................</w:t>
      </w:r>
      <w:r w:rsidR="00173D97">
        <w:rPr>
          <w:b/>
        </w:rPr>
        <w:t>..............................36</w:t>
      </w:r>
    </w:p>
    <w:p w:rsidR="00307FF9" w:rsidRPr="00307FF9" w:rsidRDefault="00307FF9" w:rsidP="00307FF9">
      <w:pPr>
        <w:pStyle w:val="Texto"/>
        <w:numPr>
          <w:ilvl w:val="0"/>
          <w:numId w:val="1"/>
        </w:numPr>
        <w:ind w:left="0" w:firstLine="0"/>
        <w:rPr>
          <w:b/>
        </w:rPr>
      </w:pPr>
      <w:r>
        <w:rPr>
          <w:b/>
        </w:rPr>
        <w:t xml:space="preserve">REFERÊNCIAS BIBLIOGRÁFICAS </w:t>
      </w:r>
      <w:r w:rsidR="00950341">
        <w:rPr>
          <w:b/>
        </w:rPr>
        <w:t>.................................</w:t>
      </w:r>
      <w:r w:rsidR="00173D97">
        <w:rPr>
          <w:b/>
        </w:rPr>
        <w:t>..............................38</w:t>
      </w:r>
    </w:p>
    <w:p w:rsidR="00F22203" w:rsidRDefault="00F22203" w:rsidP="00116C02">
      <w:pPr>
        <w:pStyle w:val="Texto"/>
        <w:ind w:firstLine="0"/>
        <w:rPr>
          <w:rFonts w:eastAsiaTheme="minorHAnsi" w:cs="Arial"/>
          <w:b/>
          <w:szCs w:val="24"/>
        </w:rPr>
      </w:pPr>
    </w:p>
    <w:p w:rsidR="00F22203" w:rsidRDefault="00F22203" w:rsidP="00116C02">
      <w:pPr>
        <w:pStyle w:val="Texto"/>
        <w:ind w:firstLine="0"/>
        <w:rPr>
          <w:rFonts w:eastAsiaTheme="minorHAnsi" w:cs="Arial"/>
          <w:b/>
          <w:szCs w:val="24"/>
        </w:rPr>
      </w:pPr>
    </w:p>
    <w:p w:rsidR="00F22203" w:rsidRPr="00443610" w:rsidRDefault="00F22203" w:rsidP="00116C02">
      <w:pPr>
        <w:pStyle w:val="Texto"/>
        <w:ind w:firstLine="0"/>
      </w:pPr>
    </w:p>
    <w:p w:rsidR="00116C02" w:rsidRPr="001C7174" w:rsidRDefault="00116C02" w:rsidP="00116C02">
      <w:pPr>
        <w:pStyle w:val="Texto"/>
      </w:pPr>
    </w:p>
    <w:p w:rsidR="00116C02" w:rsidRDefault="00116C02" w:rsidP="00116C02">
      <w:pPr>
        <w:pStyle w:val="Texto"/>
      </w:pPr>
    </w:p>
    <w:p w:rsidR="00116C02" w:rsidRDefault="00116C02" w:rsidP="00116C02">
      <w:pPr>
        <w:pStyle w:val="Texto"/>
      </w:pPr>
    </w:p>
    <w:p w:rsidR="00116C02" w:rsidRDefault="00116C02" w:rsidP="00116C02">
      <w:pPr>
        <w:pStyle w:val="Texto"/>
      </w:pPr>
    </w:p>
    <w:p w:rsidR="00116C02" w:rsidRDefault="00116C02" w:rsidP="00116C02">
      <w:pPr>
        <w:tabs>
          <w:tab w:val="left" w:pos="4830"/>
        </w:tabs>
        <w:jc w:val="both"/>
        <w:rPr>
          <w:rFonts w:ascii="Arial" w:hAnsi="Arial" w:cs="Arial"/>
          <w:b/>
          <w:sz w:val="24"/>
          <w:szCs w:val="24"/>
        </w:rPr>
        <w:sectPr w:rsidR="00116C02" w:rsidSect="00F64985">
          <w:headerReference w:type="default" r:id="rId10"/>
          <w:pgSz w:w="11906" w:h="16838"/>
          <w:pgMar w:top="1417" w:right="1133" w:bottom="1417" w:left="1701" w:header="708" w:footer="708" w:gutter="0"/>
          <w:cols w:space="708"/>
          <w:docGrid w:linePitch="360"/>
        </w:sectPr>
      </w:pPr>
    </w:p>
    <w:p w:rsidR="00116C02" w:rsidRDefault="00116C02" w:rsidP="00116C02">
      <w:pPr>
        <w:tabs>
          <w:tab w:val="left" w:pos="4830"/>
        </w:tabs>
        <w:jc w:val="both"/>
        <w:rPr>
          <w:rFonts w:ascii="Arial" w:hAnsi="Arial" w:cs="Arial"/>
          <w:b/>
          <w:sz w:val="24"/>
          <w:szCs w:val="24"/>
        </w:rPr>
      </w:pPr>
      <w:r>
        <w:rPr>
          <w:rFonts w:ascii="Arial" w:hAnsi="Arial" w:cs="Arial"/>
          <w:b/>
          <w:sz w:val="24"/>
          <w:szCs w:val="24"/>
        </w:rPr>
        <w:lastRenderedPageBreak/>
        <w:t>1 INTRODUÇÃO</w:t>
      </w:r>
    </w:p>
    <w:p w:rsidR="00CA2E87" w:rsidRDefault="00CA2E87" w:rsidP="00116C02">
      <w:pPr>
        <w:tabs>
          <w:tab w:val="left" w:pos="4830"/>
        </w:tabs>
        <w:jc w:val="both"/>
        <w:rPr>
          <w:rFonts w:ascii="Arial" w:hAnsi="Arial" w:cs="Arial"/>
          <w:b/>
          <w:sz w:val="24"/>
          <w:szCs w:val="24"/>
        </w:rPr>
      </w:pPr>
    </w:p>
    <w:p w:rsidR="008601C6" w:rsidRDefault="00B3783B" w:rsidP="00FA1F3F">
      <w:pPr>
        <w:tabs>
          <w:tab w:val="left" w:pos="4830"/>
        </w:tabs>
        <w:ind w:firstLine="851"/>
        <w:jc w:val="both"/>
        <w:rPr>
          <w:rFonts w:ascii="Arial" w:hAnsi="Arial" w:cs="Arial"/>
          <w:sz w:val="24"/>
          <w:szCs w:val="24"/>
        </w:rPr>
      </w:pPr>
      <w:r>
        <w:rPr>
          <w:rFonts w:ascii="Arial" w:hAnsi="Arial" w:cs="Arial"/>
          <w:sz w:val="24"/>
          <w:szCs w:val="24"/>
        </w:rPr>
        <w:t>D</w:t>
      </w:r>
      <w:r w:rsidR="00C65C44">
        <w:rPr>
          <w:rFonts w:ascii="Arial" w:hAnsi="Arial" w:cs="Arial"/>
          <w:sz w:val="24"/>
          <w:szCs w:val="24"/>
        </w:rPr>
        <w:t xml:space="preserve">esde o advento do Código Civil </w:t>
      </w:r>
      <w:r w:rsidR="008601C6">
        <w:rPr>
          <w:rFonts w:ascii="Arial" w:hAnsi="Arial" w:cs="Arial"/>
          <w:sz w:val="24"/>
          <w:szCs w:val="24"/>
        </w:rPr>
        <w:t xml:space="preserve">de 2002, a questão do direito de herança </w:t>
      </w:r>
      <w:r w:rsidR="00667011">
        <w:rPr>
          <w:rFonts w:ascii="Arial" w:hAnsi="Arial" w:cs="Arial"/>
          <w:sz w:val="24"/>
          <w:szCs w:val="24"/>
        </w:rPr>
        <w:t>necessária do</w:t>
      </w:r>
      <w:r w:rsidR="008601C6">
        <w:rPr>
          <w:rFonts w:ascii="Arial" w:hAnsi="Arial" w:cs="Arial"/>
          <w:sz w:val="24"/>
          <w:szCs w:val="24"/>
        </w:rPr>
        <w:t xml:space="preserve"> cônjuge </w:t>
      </w:r>
      <w:r w:rsidR="00F5226C">
        <w:rPr>
          <w:rFonts w:ascii="Arial" w:hAnsi="Arial" w:cs="Arial"/>
          <w:sz w:val="24"/>
          <w:szCs w:val="24"/>
        </w:rPr>
        <w:t>sobrevivente</w:t>
      </w:r>
      <w:r w:rsidR="008601C6">
        <w:rPr>
          <w:rFonts w:ascii="Arial" w:hAnsi="Arial" w:cs="Arial"/>
          <w:sz w:val="24"/>
          <w:szCs w:val="24"/>
        </w:rPr>
        <w:t xml:space="preserve"> casado sob o regime de separação convencional de bens tornou-se objeto de inúmeras discussões entre os juristas</w:t>
      </w:r>
      <w:r w:rsidR="008804CC">
        <w:rPr>
          <w:rFonts w:ascii="Arial" w:hAnsi="Arial" w:cs="Arial"/>
          <w:sz w:val="24"/>
          <w:szCs w:val="24"/>
        </w:rPr>
        <w:t>, algumas delas registradas sob</w:t>
      </w:r>
      <w:r w:rsidR="002B650B">
        <w:rPr>
          <w:rFonts w:ascii="Arial" w:hAnsi="Arial" w:cs="Arial"/>
          <w:sz w:val="24"/>
          <w:szCs w:val="24"/>
        </w:rPr>
        <w:t xml:space="preserve"> os Recursos Especiais nº 99</w:t>
      </w:r>
      <w:r w:rsidR="00950341">
        <w:rPr>
          <w:rFonts w:ascii="Arial" w:hAnsi="Arial" w:cs="Arial"/>
          <w:sz w:val="24"/>
          <w:szCs w:val="24"/>
        </w:rPr>
        <w:t>2</w:t>
      </w:r>
      <w:r w:rsidR="002B650B">
        <w:rPr>
          <w:rFonts w:ascii="Arial" w:hAnsi="Arial" w:cs="Arial"/>
          <w:sz w:val="24"/>
          <w:szCs w:val="24"/>
        </w:rPr>
        <w:t>.7</w:t>
      </w:r>
      <w:r w:rsidR="00AC4171">
        <w:rPr>
          <w:rFonts w:ascii="Arial" w:hAnsi="Arial" w:cs="Arial"/>
          <w:sz w:val="24"/>
          <w:szCs w:val="24"/>
        </w:rPr>
        <w:t xml:space="preserve">49/MS </w:t>
      </w:r>
      <w:r w:rsidR="008804CC">
        <w:rPr>
          <w:rFonts w:ascii="Arial" w:hAnsi="Arial" w:cs="Arial"/>
          <w:sz w:val="24"/>
          <w:szCs w:val="24"/>
        </w:rPr>
        <w:t>e 1.382.170/SP.</w:t>
      </w:r>
    </w:p>
    <w:p w:rsidR="00F90060" w:rsidRDefault="002B650B" w:rsidP="00FA1F3F">
      <w:pPr>
        <w:tabs>
          <w:tab w:val="left" w:pos="4830"/>
        </w:tabs>
        <w:ind w:firstLine="851"/>
        <w:jc w:val="both"/>
        <w:rPr>
          <w:rFonts w:ascii="Arial" w:hAnsi="Arial" w:cs="Arial"/>
          <w:sz w:val="24"/>
          <w:szCs w:val="24"/>
        </w:rPr>
      </w:pPr>
      <w:r>
        <w:rPr>
          <w:rFonts w:ascii="Arial" w:hAnsi="Arial" w:cs="Arial"/>
          <w:sz w:val="24"/>
          <w:szCs w:val="24"/>
        </w:rPr>
        <w:t xml:space="preserve">Em 2010, a 3ª Turma do Superior Tribunal de Justiça, no julgamento do Recurso Especial nº </w:t>
      </w:r>
      <w:r w:rsidR="00AC4171">
        <w:rPr>
          <w:rFonts w:ascii="Arial" w:hAnsi="Arial" w:cs="Arial"/>
          <w:sz w:val="24"/>
          <w:szCs w:val="24"/>
        </w:rPr>
        <w:t>99</w:t>
      </w:r>
      <w:r w:rsidR="00950341">
        <w:rPr>
          <w:rFonts w:ascii="Arial" w:hAnsi="Arial" w:cs="Arial"/>
          <w:sz w:val="24"/>
          <w:szCs w:val="24"/>
        </w:rPr>
        <w:t>2</w:t>
      </w:r>
      <w:r w:rsidR="00AC4171">
        <w:rPr>
          <w:rFonts w:ascii="Arial" w:hAnsi="Arial" w:cs="Arial"/>
          <w:sz w:val="24"/>
          <w:szCs w:val="24"/>
        </w:rPr>
        <w:t>.749/MS</w:t>
      </w:r>
      <w:r>
        <w:rPr>
          <w:rFonts w:ascii="Arial" w:hAnsi="Arial" w:cs="Arial"/>
          <w:sz w:val="24"/>
          <w:szCs w:val="24"/>
        </w:rPr>
        <w:t>, definiu que o cônjuge sobrevivente, casado sob o regime de separação</w:t>
      </w:r>
      <w:r w:rsidR="00E10609">
        <w:rPr>
          <w:rFonts w:ascii="Arial" w:hAnsi="Arial" w:cs="Arial"/>
          <w:sz w:val="24"/>
          <w:szCs w:val="24"/>
        </w:rPr>
        <w:t xml:space="preserve"> convencional de bens, não teria</w:t>
      </w:r>
      <w:r>
        <w:rPr>
          <w:rFonts w:ascii="Arial" w:hAnsi="Arial" w:cs="Arial"/>
          <w:sz w:val="24"/>
          <w:szCs w:val="24"/>
        </w:rPr>
        <w:t xml:space="preserve"> direito à concorrer à herança </w:t>
      </w:r>
      <w:r w:rsidR="00023398">
        <w:rPr>
          <w:rFonts w:ascii="Arial" w:hAnsi="Arial" w:cs="Arial"/>
          <w:sz w:val="24"/>
          <w:szCs w:val="24"/>
        </w:rPr>
        <w:t xml:space="preserve">do falecido </w:t>
      </w:r>
      <w:r>
        <w:rPr>
          <w:rFonts w:ascii="Arial" w:hAnsi="Arial" w:cs="Arial"/>
          <w:sz w:val="24"/>
          <w:szCs w:val="24"/>
        </w:rPr>
        <w:t>com os descen</w:t>
      </w:r>
      <w:r w:rsidR="00E10609">
        <w:rPr>
          <w:rFonts w:ascii="Arial" w:hAnsi="Arial" w:cs="Arial"/>
          <w:sz w:val="24"/>
          <w:szCs w:val="24"/>
        </w:rPr>
        <w:t>den</w:t>
      </w:r>
      <w:r>
        <w:rPr>
          <w:rFonts w:ascii="Arial" w:hAnsi="Arial" w:cs="Arial"/>
          <w:sz w:val="24"/>
          <w:szCs w:val="24"/>
        </w:rPr>
        <w:t>tes</w:t>
      </w:r>
      <w:r w:rsidR="00ED6568">
        <w:rPr>
          <w:rFonts w:ascii="Arial" w:hAnsi="Arial" w:cs="Arial"/>
          <w:sz w:val="24"/>
          <w:szCs w:val="24"/>
        </w:rPr>
        <w:t xml:space="preserve"> do </w:t>
      </w:r>
      <w:r w:rsidR="00ED6568">
        <w:rPr>
          <w:rFonts w:ascii="Arial" w:hAnsi="Arial" w:cs="Arial"/>
          <w:i/>
          <w:sz w:val="24"/>
          <w:szCs w:val="24"/>
        </w:rPr>
        <w:t>de cujus</w:t>
      </w:r>
      <w:r>
        <w:rPr>
          <w:rFonts w:ascii="Arial" w:hAnsi="Arial" w:cs="Arial"/>
          <w:sz w:val="24"/>
          <w:szCs w:val="24"/>
        </w:rPr>
        <w:t>. N</w:t>
      </w:r>
      <w:r w:rsidR="001E2367">
        <w:rPr>
          <w:rFonts w:ascii="Arial" w:hAnsi="Arial" w:cs="Arial"/>
          <w:sz w:val="24"/>
          <w:szCs w:val="24"/>
        </w:rPr>
        <w:t>a</w:t>
      </w:r>
      <w:r w:rsidR="00E10609">
        <w:rPr>
          <w:rFonts w:ascii="Arial" w:hAnsi="Arial" w:cs="Arial"/>
          <w:sz w:val="24"/>
          <w:szCs w:val="24"/>
        </w:rPr>
        <w:t xml:space="preserve">quela ocasião, entendeu-se que </w:t>
      </w:r>
      <w:r w:rsidR="00F90060">
        <w:rPr>
          <w:rFonts w:ascii="Arial" w:hAnsi="Arial" w:cs="Arial"/>
          <w:sz w:val="24"/>
          <w:szCs w:val="24"/>
        </w:rPr>
        <w:t xml:space="preserve">o artigo 1.829, inciso I, do Código Civil, ao elencar o cônjuge casado sob o regime de separação </w:t>
      </w:r>
      <w:r w:rsidR="00A11849">
        <w:rPr>
          <w:rFonts w:ascii="Arial" w:hAnsi="Arial" w:cs="Arial"/>
          <w:sz w:val="24"/>
          <w:szCs w:val="24"/>
        </w:rPr>
        <w:t xml:space="preserve">obrigatória </w:t>
      </w:r>
      <w:r w:rsidR="00F90060">
        <w:rPr>
          <w:rFonts w:ascii="Arial" w:hAnsi="Arial" w:cs="Arial"/>
          <w:sz w:val="24"/>
          <w:szCs w:val="24"/>
        </w:rPr>
        <w:t xml:space="preserve">de bens como uma exceção à concorrência </w:t>
      </w:r>
      <w:r w:rsidR="00023398">
        <w:rPr>
          <w:rFonts w:ascii="Arial" w:hAnsi="Arial" w:cs="Arial"/>
          <w:sz w:val="24"/>
          <w:szCs w:val="24"/>
        </w:rPr>
        <w:t xml:space="preserve">sobre a herança </w:t>
      </w:r>
      <w:r w:rsidR="00F90060">
        <w:rPr>
          <w:rFonts w:ascii="Arial" w:hAnsi="Arial" w:cs="Arial"/>
          <w:sz w:val="24"/>
          <w:szCs w:val="24"/>
        </w:rPr>
        <w:t xml:space="preserve">com os descendentes do falecido, o fez de modo genérico, sem especificar se a referida separação seria legal ou convencional. </w:t>
      </w:r>
    </w:p>
    <w:p w:rsidR="00F90060" w:rsidRDefault="00817038" w:rsidP="00FA1F3F">
      <w:pPr>
        <w:tabs>
          <w:tab w:val="left" w:pos="4830"/>
        </w:tabs>
        <w:ind w:firstLine="851"/>
        <w:jc w:val="both"/>
        <w:rPr>
          <w:rFonts w:ascii="Arial" w:hAnsi="Arial" w:cs="Arial"/>
          <w:sz w:val="24"/>
          <w:szCs w:val="24"/>
        </w:rPr>
      </w:pPr>
      <w:r>
        <w:rPr>
          <w:rFonts w:ascii="Arial" w:hAnsi="Arial" w:cs="Arial"/>
          <w:sz w:val="24"/>
          <w:szCs w:val="24"/>
        </w:rPr>
        <w:t>Assim</w:t>
      </w:r>
      <w:r w:rsidR="00F90060">
        <w:rPr>
          <w:rFonts w:ascii="Arial" w:hAnsi="Arial" w:cs="Arial"/>
          <w:sz w:val="24"/>
          <w:szCs w:val="24"/>
        </w:rPr>
        <w:t xml:space="preserve">, assentou-se o entendimento de que a autonomia da vontade do cônjuge declarada em vida deveria ser respeitada </w:t>
      </w:r>
      <w:r w:rsidR="001C6D5E" w:rsidRPr="001C6D5E">
        <w:rPr>
          <w:rFonts w:ascii="Arial" w:hAnsi="Arial" w:cs="Arial"/>
          <w:i/>
          <w:sz w:val="24"/>
          <w:szCs w:val="24"/>
        </w:rPr>
        <w:t>pos</w:t>
      </w:r>
      <w:r w:rsidR="00A14B33">
        <w:rPr>
          <w:rFonts w:ascii="Arial" w:hAnsi="Arial" w:cs="Arial"/>
          <w:i/>
          <w:sz w:val="24"/>
          <w:szCs w:val="24"/>
        </w:rPr>
        <w:t>t</w:t>
      </w:r>
      <w:r w:rsidR="001C6D5E" w:rsidRPr="001C6D5E">
        <w:rPr>
          <w:rFonts w:ascii="Arial" w:hAnsi="Arial" w:cs="Arial"/>
          <w:i/>
          <w:sz w:val="24"/>
          <w:szCs w:val="24"/>
        </w:rPr>
        <w:t xml:space="preserve"> mortem</w:t>
      </w:r>
      <w:r w:rsidR="00F90060">
        <w:rPr>
          <w:rFonts w:ascii="Arial" w:hAnsi="Arial" w:cs="Arial"/>
          <w:sz w:val="24"/>
          <w:szCs w:val="24"/>
        </w:rPr>
        <w:t>, de modo que o cônjuge supérstite jamais seria herdeiro necessário quando casado sob o regime da separação de ben</w:t>
      </w:r>
      <w:r w:rsidR="008332B8">
        <w:rPr>
          <w:rFonts w:ascii="Arial" w:hAnsi="Arial" w:cs="Arial"/>
          <w:sz w:val="24"/>
          <w:szCs w:val="24"/>
        </w:rPr>
        <w:t>s.</w:t>
      </w:r>
    </w:p>
    <w:p w:rsidR="00A11849" w:rsidRDefault="00F90060" w:rsidP="00FA1F3F">
      <w:pPr>
        <w:tabs>
          <w:tab w:val="left" w:pos="4830"/>
        </w:tabs>
        <w:ind w:firstLine="851"/>
        <w:jc w:val="both"/>
        <w:rPr>
          <w:rFonts w:ascii="Arial" w:hAnsi="Arial" w:cs="Arial"/>
          <w:sz w:val="24"/>
          <w:szCs w:val="24"/>
        </w:rPr>
      </w:pPr>
      <w:r>
        <w:rPr>
          <w:rFonts w:ascii="Arial" w:hAnsi="Arial" w:cs="Arial"/>
          <w:sz w:val="24"/>
          <w:szCs w:val="24"/>
        </w:rPr>
        <w:t xml:space="preserve">Todavia, em 2015, a Segunda Seção do STJ proferiu decisão na contramão do entendimento anterior. </w:t>
      </w:r>
      <w:r w:rsidR="00AC4171">
        <w:rPr>
          <w:rFonts w:ascii="Arial" w:hAnsi="Arial" w:cs="Arial"/>
          <w:sz w:val="24"/>
          <w:szCs w:val="24"/>
        </w:rPr>
        <w:t xml:space="preserve">No julgamento do Recurso Especial </w:t>
      </w:r>
      <w:r w:rsidR="00961055">
        <w:rPr>
          <w:rFonts w:ascii="Arial" w:hAnsi="Arial" w:cs="Arial"/>
          <w:sz w:val="24"/>
          <w:szCs w:val="24"/>
        </w:rPr>
        <w:t>n</w:t>
      </w:r>
      <w:r w:rsidR="00AC4171">
        <w:rPr>
          <w:rFonts w:ascii="Arial" w:hAnsi="Arial" w:cs="Arial"/>
          <w:sz w:val="24"/>
          <w:szCs w:val="24"/>
        </w:rPr>
        <w:t>º 1.</w:t>
      </w:r>
      <w:r w:rsidR="00461416">
        <w:rPr>
          <w:rFonts w:ascii="Arial" w:hAnsi="Arial" w:cs="Arial"/>
          <w:sz w:val="24"/>
          <w:szCs w:val="24"/>
        </w:rPr>
        <w:t>3</w:t>
      </w:r>
      <w:r w:rsidR="00AC4171">
        <w:rPr>
          <w:rFonts w:ascii="Arial" w:hAnsi="Arial" w:cs="Arial"/>
          <w:sz w:val="24"/>
          <w:szCs w:val="24"/>
        </w:rPr>
        <w:t>82.170/SP, a</w:t>
      </w:r>
      <w:r>
        <w:rPr>
          <w:rFonts w:ascii="Arial" w:hAnsi="Arial" w:cs="Arial"/>
          <w:sz w:val="24"/>
          <w:szCs w:val="24"/>
        </w:rPr>
        <w:t xml:space="preserve"> compreensão – </w:t>
      </w:r>
      <w:r w:rsidRPr="00C03CA2">
        <w:rPr>
          <w:rFonts w:ascii="Arial" w:hAnsi="Arial" w:cs="Arial"/>
          <w:sz w:val="24"/>
          <w:szCs w:val="24"/>
        </w:rPr>
        <w:t xml:space="preserve">repise-se, ainda não pacificada totalmente entre a doutrina </w:t>
      </w:r>
      <w:r>
        <w:rPr>
          <w:rFonts w:ascii="Arial" w:hAnsi="Arial" w:cs="Arial"/>
          <w:sz w:val="24"/>
          <w:szCs w:val="24"/>
        </w:rPr>
        <w:t xml:space="preserve">–, </w:t>
      </w:r>
      <w:r w:rsidR="00AC4171">
        <w:rPr>
          <w:rFonts w:ascii="Arial" w:hAnsi="Arial" w:cs="Arial"/>
          <w:sz w:val="24"/>
          <w:szCs w:val="24"/>
        </w:rPr>
        <w:t>foi de</w:t>
      </w:r>
      <w:r w:rsidR="00817038">
        <w:rPr>
          <w:rFonts w:ascii="Arial" w:hAnsi="Arial" w:cs="Arial"/>
          <w:sz w:val="24"/>
          <w:szCs w:val="24"/>
        </w:rPr>
        <w:t xml:space="preserve"> que, ao mencionar</w:t>
      </w:r>
      <w:r w:rsidR="00A11849">
        <w:rPr>
          <w:rFonts w:ascii="Arial" w:hAnsi="Arial" w:cs="Arial"/>
          <w:sz w:val="24"/>
          <w:szCs w:val="24"/>
        </w:rPr>
        <w:t xml:space="preserve"> “separação obrigatória”, o legislador referiu-se apenas à separação legal de bens.</w:t>
      </w:r>
    </w:p>
    <w:p w:rsidR="00817038" w:rsidRDefault="00AC4171" w:rsidP="00FA1F3F">
      <w:pPr>
        <w:tabs>
          <w:tab w:val="left" w:pos="4830"/>
        </w:tabs>
        <w:ind w:firstLine="851"/>
        <w:jc w:val="both"/>
        <w:rPr>
          <w:rFonts w:ascii="Arial" w:hAnsi="Arial" w:cs="Arial"/>
          <w:sz w:val="24"/>
          <w:szCs w:val="24"/>
        </w:rPr>
      </w:pPr>
      <w:r>
        <w:rPr>
          <w:rFonts w:ascii="Arial" w:hAnsi="Arial" w:cs="Arial"/>
          <w:sz w:val="24"/>
          <w:szCs w:val="24"/>
        </w:rPr>
        <w:t xml:space="preserve">Desse modo, por </w:t>
      </w:r>
      <w:r w:rsidR="00A91027">
        <w:rPr>
          <w:rFonts w:ascii="Arial" w:hAnsi="Arial" w:cs="Arial"/>
          <w:sz w:val="24"/>
          <w:szCs w:val="24"/>
        </w:rPr>
        <w:t xml:space="preserve">referido dispositivo </w:t>
      </w:r>
      <w:r>
        <w:rPr>
          <w:rFonts w:ascii="Arial" w:hAnsi="Arial" w:cs="Arial"/>
          <w:sz w:val="24"/>
          <w:szCs w:val="24"/>
        </w:rPr>
        <w:t xml:space="preserve">não fazer referência à separação convencional de bens, o cônjuge sobrevivente casado sob esse regime seria </w:t>
      </w:r>
      <w:r w:rsidR="00961055">
        <w:rPr>
          <w:rFonts w:ascii="Arial" w:hAnsi="Arial" w:cs="Arial"/>
          <w:sz w:val="24"/>
          <w:szCs w:val="24"/>
        </w:rPr>
        <w:t xml:space="preserve">herdeiro necessário, </w:t>
      </w:r>
      <w:r w:rsidR="00A91027">
        <w:rPr>
          <w:rFonts w:ascii="Arial" w:hAnsi="Arial" w:cs="Arial"/>
          <w:sz w:val="24"/>
          <w:szCs w:val="24"/>
        </w:rPr>
        <w:t>recaindo n</w:t>
      </w:r>
      <w:r w:rsidR="00961055">
        <w:rPr>
          <w:rFonts w:ascii="Arial" w:hAnsi="Arial" w:cs="Arial"/>
          <w:sz w:val="24"/>
          <w:szCs w:val="24"/>
        </w:rPr>
        <w:t xml:space="preserve">a regra geral </w:t>
      </w:r>
      <w:r w:rsidR="00A91027">
        <w:rPr>
          <w:rFonts w:ascii="Arial" w:hAnsi="Arial" w:cs="Arial"/>
          <w:sz w:val="24"/>
          <w:szCs w:val="24"/>
        </w:rPr>
        <w:t>prevista</w:t>
      </w:r>
      <w:r w:rsidR="00961055">
        <w:rPr>
          <w:rFonts w:ascii="Arial" w:hAnsi="Arial" w:cs="Arial"/>
          <w:sz w:val="24"/>
          <w:szCs w:val="24"/>
        </w:rPr>
        <w:t xml:space="preserve"> no artigo </w:t>
      </w:r>
      <w:r>
        <w:rPr>
          <w:rFonts w:ascii="Arial" w:hAnsi="Arial" w:cs="Arial"/>
          <w:sz w:val="24"/>
          <w:szCs w:val="24"/>
        </w:rPr>
        <w:t>1.845, do Código Civil.</w:t>
      </w:r>
    </w:p>
    <w:p w:rsidR="00FC2980" w:rsidRDefault="00667011" w:rsidP="00FA1F3F">
      <w:pPr>
        <w:tabs>
          <w:tab w:val="left" w:pos="4830"/>
        </w:tabs>
        <w:ind w:firstLine="851"/>
        <w:jc w:val="both"/>
        <w:rPr>
          <w:rFonts w:ascii="Arial" w:hAnsi="Arial" w:cs="Arial"/>
          <w:sz w:val="24"/>
          <w:szCs w:val="24"/>
        </w:rPr>
      </w:pPr>
      <w:r>
        <w:rPr>
          <w:rFonts w:ascii="Arial" w:hAnsi="Arial" w:cs="Arial"/>
          <w:sz w:val="24"/>
          <w:szCs w:val="24"/>
        </w:rPr>
        <w:t>Destarte, s</w:t>
      </w:r>
      <w:r w:rsidR="00461416">
        <w:rPr>
          <w:rFonts w:ascii="Arial" w:hAnsi="Arial" w:cs="Arial"/>
          <w:sz w:val="24"/>
          <w:szCs w:val="24"/>
        </w:rPr>
        <w:t xml:space="preserve">ob uma ótica atenta às peculiaridades das diversas correntes </w:t>
      </w:r>
      <w:r w:rsidR="005600BD">
        <w:rPr>
          <w:rFonts w:ascii="Arial" w:hAnsi="Arial" w:cs="Arial"/>
          <w:sz w:val="24"/>
          <w:szCs w:val="24"/>
        </w:rPr>
        <w:t>interpretativas</w:t>
      </w:r>
      <w:r w:rsidR="00461416">
        <w:rPr>
          <w:rFonts w:ascii="Arial" w:hAnsi="Arial" w:cs="Arial"/>
          <w:sz w:val="24"/>
          <w:szCs w:val="24"/>
        </w:rPr>
        <w:t xml:space="preserve"> sobre o tema, será realizado, em um primeiro momento, </w:t>
      </w:r>
      <w:r w:rsidR="004518FB">
        <w:rPr>
          <w:rFonts w:ascii="Arial" w:hAnsi="Arial" w:cs="Arial"/>
          <w:sz w:val="24"/>
          <w:szCs w:val="24"/>
        </w:rPr>
        <w:t xml:space="preserve">um </w:t>
      </w:r>
      <w:r w:rsidR="00461416">
        <w:rPr>
          <w:rFonts w:ascii="Arial" w:hAnsi="Arial" w:cs="Arial"/>
          <w:sz w:val="24"/>
          <w:szCs w:val="24"/>
        </w:rPr>
        <w:t xml:space="preserve">panorama </w:t>
      </w:r>
      <w:r w:rsidR="00062EE4">
        <w:rPr>
          <w:rFonts w:ascii="Arial" w:hAnsi="Arial" w:cs="Arial"/>
          <w:sz w:val="24"/>
          <w:szCs w:val="24"/>
        </w:rPr>
        <w:t>do instituto do regime de bens e</w:t>
      </w:r>
      <w:r w:rsidR="004518FB">
        <w:rPr>
          <w:rFonts w:ascii="Arial" w:hAnsi="Arial" w:cs="Arial"/>
          <w:sz w:val="24"/>
          <w:szCs w:val="24"/>
        </w:rPr>
        <w:t xml:space="preserve"> de</w:t>
      </w:r>
      <w:r w:rsidR="00062EE4">
        <w:rPr>
          <w:rFonts w:ascii="Arial" w:hAnsi="Arial" w:cs="Arial"/>
          <w:sz w:val="24"/>
          <w:szCs w:val="24"/>
        </w:rPr>
        <w:t xml:space="preserve"> sua distinção com o direito das sucessões</w:t>
      </w:r>
      <w:r w:rsidR="00461416">
        <w:rPr>
          <w:rFonts w:ascii="Arial" w:hAnsi="Arial" w:cs="Arial"/>
          <w:sz w:val="24"/>
          <w:szCs w:val="24"/>
        </w:rPr>
        <w:t xml:space="preserve">, a fim de, posteriormente, </w:t>
      </w:r>
      <w:r w:rsidR="005600BD">
        <w:rPr>
          <w:rFonts w:ascii="Arial" w:hAnsi="Arial" w:cs="Arial"/>
          <w:sz w:val="24"/>
          <w:szCs w:val="24"/>
        </w:rPr>
        <w:t xml:space="preserve">abordar posições </w:t>
      </w:r>
      <w:r w:rsidR="004C339C">
        <w:rPr>
          <w:rFonts w:ascii="Arial" w:hAnsi="Arial" w:cs="Arial"/>
          <w:sz w:val="24"/>
          <w:szCs w:val="24"/>
        </w:rPr>
        <w:t>doutrinárias referentes ao tema e examinar os</w:t>
      </w:r>
      <w:r w:rsidR="00461416">
        <w:rPr>
          <w:rFonts w:ascii="Arial" w:hAnsi="Arial" w:cs="Arial"/>
          <w:sz w:val="24"/>
          <w:szCs w:val="24"/>
        </w:rPr>
        <w:t xml:space="preserve"> casos concretos </w:t>
      </w:r>
      <w:r w:rsidR="004C339C">
        <w:rPr>
          <w:rFonts w:ascii="Arial" w:hAnsi="Arial" w:cs="Arial"/>
          <w:sz w:val="24"/>
          <w:szCs w:val="24"/>
        </w:rPr>
        <w:t>analisados</w:t>
      </w:r>
      <w:r w:rsidR="00461416">
        <w:rPr>
          <w:rFonts w:ascii="Arial" w:hAnsi="Arial" w:cs="Arial"/>
          <w:sz w:val="24"/>
          <w:szCs w:val="24"/>
        </w:rPr>
        <w:t xml:space="preserve"> nos Recursos Especia</w:t>
      </w:r>
      <w:r w:rsidR="00950341">
        <w:rPr>
          <w:rFonts w:ascii="Arial" w:hAnsi="Arial" w:cs="Arial"/>
          <w:sz w:val="24"/>
          <w:szCs w:val="24"/>
        </w:rPr>
        <w:t>is nº 992</w:t>
      </w:r>
      <w:r w:rsidR="004C339C">
        <w:rPr>
          <w:rFonts w:ascii="Arial" w:hAnsi="Arial" w:cs="Arial"/>
          <w:sz w:val="24"/>
          <w:szCs w:val="24"/>
        </w:rPr>
        <w:t>.749/MS e 1.382.170/SP. Por fim, será proposta uma solução para a dissonância doutrinária existente,</w:t>
      </w:r>
      <w:r w:rsidR="00461416">
        <w:rPr>
          <w:rFonts w:ascii="Arial" w:hAnsi="Arial" w:cs="Arial"/>
          <w:sz w:val="24"/>
          <w:szCs w:val="24"/>
        </w:rPr>
        <w:t xml:space="preserve"> </w:t>
      </w:r>
      <w:r w:rsidR="004C339C">
        <w:rPr>
          <w:rFonts w:ascii="Arial" w:hAnsi="Arial" w:cs="Arial"/>
          <w:sz w:val="24"/>
          <w:szCs w:val="24"/>
        </w:rPr>
        <w:t xml:space="preserve">sob </w:t>
      </w:r>
      <w:r w:rsidR="00FA1F3F">
        <w:rPr>
          <w:rFonts w:ascii="Arial" w:hAnsi="Arial" w:cs="Arial"/>
          <w:sz w:val="24"/>
          <w:szCs w:val="24"/>
        </w:rPr>
        <w:t>o</w:t>
      </w:r>
      <w:r w:rsidR="004C339C">
        <w:rPr>
          <w:rFonts w:ascii="Arial" w:hAnsi="Arial" w:cs="Arial"/>
          <w:sz w:val="24"/>
          <w:szCs w:val="24"/>
        </w:rPr>
        <w:t xml:space="preserve"> prisma </w:t>
      </w:r>
      <w:r w:rsidR="00FA1F3F">
        <w:rPr>
          <w:rFonts w:ascii="Arial" w:hAnsi="Arial" w:cs="Arial"/>
          <w:sz w:val="24"/>
          <w:szCs w:val="24"/>
        </w:rPr>
        <w:t>da</w:t>
      </w:r>
      <w:r w:rsidR="004C339C">
        <w:rPr>
          <w:rFonts w:ascii="Arial" w:hAnsi="Arial" w:cs="Arial"/>
          <w:sz w:val="24"/>
          <w:szCs w:val="24"/>
        </w:rPr>
        <w:t xml:space="preserve"> </w:t>
      </w:r>
      <w:r w:rsidR="00950341">
        <w:rPr>
          <w:rFonts w:ascii="Arial" w:hAnsi="Arial" w:cs="Arial"/>
          <w:sz w:val="24"/>
          <w:szCs w:val="24"/>
        </w:rPr>
        <w:t>autonomia da vontade declara em vida pelos cônjuges.</w:t>
      </w:r>
    </w:p>
    <w:p w:rsidR="00FA1F3F" w:rsidRDefault="00FA1F3F" w:rsidP="00FA1F3F">
      <w:pPr>
        <w:tabs>
          <w:tab w:val="left" w:pos="4830"/>
        </w:tabs>
        <w:ind w:firstLine="851"/>
        <w:jc w:val="both"/>
        <w:rPr>
          <w:rFonts w:ascii="Arial" w:hAnsi="Arial" w:cs="Arial"/>
          <w:b/>
          <w:sz w:val="24"/>
          <w:szCs w:val="24"/>
        </w:rPr>
      </w:pPr>
    </w:p>
    <w:p w:rsidR="00346965" w:rsidRDefault="00346965" w:rsidP="004518FB">
      <w:pPr>
        <w:tabs>
          <w:tab w:val="left" w:pos="3969"/>
          <w:tab w:val="left" w:pos="4830"/>
        </w:tabs>
        <w:jc w:val="both"/>
        <w:rPr>
          <w:rFonts w:ascii="Arial" w:hAnsi="Arial" w:cs="Arial"/>
          <w:b/>
          <w:sz w:val="24"/>
          <w:szCs w:val="24"/>
        </w:rPr>
      </w:pPr>
      <w:r>
        <w:rPr>
          <w:rFonts w:ascii="Arial" w:hAnsi="Arial" w:cs="Arial"/>
          <w:b/>
          <w:sz w:val="24"/>
          <w:szCs w:val="24"/>
        </w:rPr>
        <w:lastRenderedPageBreak/>
        <w:t>2 O</w:t>
      </w:r>
      <w:r w:rsidR="0089444D">
        <w:rPr>
          <w:rFonts w:ascii="Arial" w:hAnsi="Arial" w:cs="Arial"/>
          <w:b/>
          <w:sz w:val="24"/>
          <w:szCs w:val="24"/>
        </w:rPr>
        <w:t>S</w:t>
      </w:r>
      <w:r>
        <w:rPr>
          <w:rFonts w:ascii="Arial" w:hAnsi="Arial" w:cs="Arial"/>
          <w:b/>
          <w:sz w:val="24"/>
          <w:szCs w:val="24"/>
        </w:rPr>
        <w:t xml:space="preserve"> REGIME</w:t>
      </w:r>
      <w:r w:rsidR="0089444D">
        <w:rPr>
          <w:rFonts w:ascii="Arial" w:hAnsi="Arial" w:cs="Arial"/>
          <w:b/>
          <w:sz w:val="24"/>
          <w:szCs w:val="24"/>
        </w:rPr>
        <w:t xml:space="preserve">S </w:t>
      </w:r>
      <w:r>
        <w:rPr>
          <w:rFonts w:ascii="Arial" w:hAnsi="Arial" w:cs="Arial"/>
          <w:b/>
          <w:sz w:val="24"/>
          <w:szCs w:val="24"/>
        </w:rPr>
        <w:t xml:space="preserve">DE BENS </w:t>
      </w:r>
      <w:r w:rsidR="0089444D">
        <w:rPr>
          <w:rFonts w:ascii="Arial" w:hAnsi="Arial" w:cs="Arial"/>
          <w:b/>
          <w:sz w:val="24"/>
          <w:szCs w:val="24"/>
        </w:rPr>
        <w:t>NO DIREITO BRASILEIRO</w:t>
      </w:r>
    </w:p>
    <w:p w:rsidR="009E4534" w:rsidRDefault="009E4534" w:rsidP="0021369E">
      <w:pPr>
        <w:tabs>
          <w:tab w:val="left" w:pos="4830"/>
        </w:tabs>
        <w:jc w:val="both"/>
        <w:rPr>
          <w:rFonts w:ascii="Arial" w:hAnsi="Arial" w:cs="Arial"/>
          <w:b/>
          <w:sz w:val="24"/>
          <w:szCs w:val="24"/>
        </w:rPr>
      </w:pPr>
    </w:p>
    <w:p w:rsidR="004A7021" w:rsidRDefault="009E4534" w:rsidP="009E4534">
      <w:pPr>
        <w:tabs>
          <w:tab w:val="left" w:pos="4830"/>
        </w:tabs>
        <w:ind w:right="851"/>
        <w:jc w:val="both"/>
        <w:rPr>
          <w:rFonts w:ascii="Arial" w:hAnsi="Arial" w:cs="Arial"/>
          <w:sz w:val="24"/>
          <w:szCs w:val="24"/>
        </w:rPr>
      </w:pPr>
      <w:r>
        <w:rPr>
          <w:rFonts w:ascii="Arial" w:hAnsi="Arial" w:cs="Arial"/>
          <w:sz w:val="24"/>
          <w:szCs w:val="24"/>
        </w:rPr>
        <w:t xml:space="preserve">2.1. </w:t>
      </w:r>
      <w:r w:rsidR="004A7021">
        <w:rPr>
          <w:rFonts w:ascii="Arial" w:hAnsi="Arial" w:cs="Arial"/>
          <w:sz w:val="24"/>
          <w:szCs w:val="24"/>
        </w:rPr>
        <w:t>CONTEXTO</w:t>
      </w:r>
    </w:p>
    <w:p w:rsidR="004A7021" w:rsidRDefault="004A7021" w:rsidP="00FA1F3F">
      <w:pPr>
        <w:tabs>
          <w:tab w:val="left" w:pos="4830"/>
        </w:tabs>
        <w:ind w:right="851" w:firstLine="851"/>
        <w:jc w:val="both"/>
        <w:rPr>
          <w:rFonts w:ascii="Arial" w:hAnsi="Arial" w:cs="Arial"/>
          <w:sz w:val="24"/>
          <w:szCs w:val="24"/>
        </w:rPr>
      </w:pPr>
    </w:p>
    <w:p w:rsidR="00113E0A" w:rsidRDefault="004A7021" w:rsidP="00FA1F3F">
      <w:pPr>
        <w:tabs>
          <w:tab w:val="left" w:pos="4830"/>
        </w:tabs>
        <w:ind w:firstLine="851"/>
        <w:jc w:val="both"/>
        <w:rPr>
          <w:rFonts w:ascii="Arial" w:hAnsi="Arial" w:cs="Arial"/>
          <w:sz w:val="24"/>
          <w:szCs w:val="24"/>
        </w:rPr>
      </w:pPr>
      <w:r>
        <w:rPr>
          <w:rFonts w:ascii="Arial" w:hAnsi="Arial" w:cs="Arial"/>
          <w:sz w:val="24"/>
          <w:szCs w:val="24"/>
        </w:rPr>
        <w:t>Antes de adentrar na discussão a respeito da interpretação dada ao artigo 1.829, inciso I, do Código Civil, mister se faz uma</w:t>
      </w:r>
      <w:r w:rsidR="001C2382">
        <w:rPr>
          <w:rFonts w:ascii="Arial" w:hAnsi="Arial" w:cs="Arial"/>
          <w:sz w:val="24"/>
          <w:szCs w:val="24"/>
        </w:rPr>
        <w:t xml:space="preserve"> breve explanação a respeito de</w:t>
      </w:r>
      <w:r>
        <w:rPr>
          <w:rFonts w:ascii="Arial" w:hAnsi="Arial" w:cs="Arial"/>
          <w:sz w:val="24"/>
          <w:szCs w:val="24"/>
        </w:rPr>
        <w:t xml:space="preserve"> </w:t>
      </w:r>
      <w:r w:rsidR="00091648">
        <w:rPr>
          <w:rFonts w:ascii="Arial" w:hAnsi="Arial" w:cs="Arial"/>
          <w:sz w:val="24"/>
          <w:szCs w:val="24"/>
        </w:rPr>
        <w:t>três</w:t>
      </w:r>
      <w:r w:rsidR="00113E0A">
        <w:rPr>
          <w:rFonts w:ascii="Arial" w:hAnsi="Arial" w:cs="Arial"/>
          <w:sz w:val="24"/>
          <w:szCs w:val="24"/>
        </w:rPr>
        <w:t xml:space="preserve"> e</w:t>
      </w:r>
      <w:r>
        <w:rPr>
          <w:rFonts w:ascii="Arial" w:hAnsi="Arial" w:cs="Arial"/>
          <w:sz w:val="24"/>
          <w:szCs w:val="24"/>
        </w:rPr>
        <w:t xml:space="preserve">spécies </w:t>
      </w:r>
      <w:r w:rsidR="00113E0A">
        <w:rPr>
          <w:rFonts w:ascii="Arial" w:hAnsi="Arial" w:cs="Arial"/>
          <w:sz w:val="24"/>
          <w:szCs w:val="24"/>
        </w:rPr>
        <w:t>regimes de bens</w:t>
      </w:r>
      <w:r w:rsidR="00113E0A">
        <w:rPr>
          <w:rStyle w:val="Refdenotaderodap"/>
          <w:rFonts w:ascii="Arial" w:hAnsi="Arial" w:cs="Arial"/>
          <w:sz w:val="24"/>
          <w:szCs w:val="24"/>
        </w:rPr>
        <w:footnoteReference w:id="1"/>
      </w:r>
      <w:r w:rsidR="00113E0A">
        <w:rPr>
          <w:rFonts w:ascii="Arial" w:hAnsi="Arial" w:cs="Arial"/>
          <w:sz w:val="24"/>
          <w:szCs w:val="24"/>
        </w:rPr>
        <w:t xml:space="preserve"> </w:t>
      </w:r>
      <w:r w:rsidR="005E755E">
        <w:rPr>
          <w:rFonts w:ascii="Arial" w:hAnsi="Arial" w:cs="Arial"/>
          <w:sz w:val="24"/>
          <w:szCs w:val="24"/>
        </w:rPr>
        <w:t>no direito brasileiro</w:t>
      </w:r>
      <w:r w:rsidR="00113E0A">
        <w:rPr>
          <w:rFonts w:ascii="Arial" w:hAnsi="Arial" w:cs="Arial"/>
          <w:sz w:val="24"/>
          <w:szCs w:val="24"/>
        </w:rPr>
        <w:t>: comunh</w:t>
      </w:r>
      <w:r w:rsidR="00091648">
        <w:rPr>
          <w:rFonts w:ascii="Arial" w:hAnsi="Arial" w:cs="Arial"/>
          <w:sz w:val="24"/>
          <w:szCs w:val="24"/>
        </w:rPr>
        <w:t xml:space="preserve">ão universal, comunhão parcial </w:t>
      </w:r>
      <w:r w:rsidR="00113E0A">
        <w:rPr>
          <w:rFonts w:ascii="Arial" w:hAnsi="Arial" w:cs="Arial"/>
          <w:sz w:val="24"/>
          <w:szCs w:val="24"/>
        </w:rPr>
        <w:t>e separação de bens</w:t>
      </w:r>
      <w:r w:rsidR="00113E0A">
        <w:rPr>
          <w:rStyle w:val="Refdenotaderodap"/>
          <w:rFonts w:ascii="Arial" w:hAnsi="Arial" w:cs="Arial"/>
          <w:sz w:val="24"/>
          <w:szCs w:val="24"/>
        </w:rPr>
        <w:footnoteReference w:id="2"/>
      </w:r>
      <w:r w:rsidR="00113E0A">
        <w:rPr>
          <w:rFonts w:ascii="Arial" w:hAnsi="Arial" w:cs="Arial"/>
          <w:sz w:val="24"/>
          <w:szCs w:val="24"/>
        </w:rPr>
        <w:t>.</w:t>
      </w:r>
    </w:p>
    <w:p w:rsidR="00792EE5" w:rsidRPr="008B1376" w:rsidRDefault="00AF6B64" w:rsidP="00FA1F3F">
      <w:pPr>
        <w:tabs>
          <w:tab w:val="left" w:pos="4830"/>
        </w:tabs>
        <w:ind w:firstLine="851"/>
        <w:jc w:val="both"/>
        <w:rPr>
          <w:rFonts w:ascii="Arial" w:hAnsi="Arial" w:cs="Arial"/>
          <w:sz w:val="24"/>
          <w:szCs w:val="24"/>
        </w:rPr>
      </w:pPr>
      <w:r>
        <w:rPr>
          <w:rFonts w:ascii="Arial" w:hAnsi="Arial" w:cs="Arial"/>
          <w:sz w:val="24"/>
          <w:szCs w:val="24"/>
        </w:rPr>
        <w:t>Dentre as diversas consequências jurídicas oriundas da celebração do casamento</w:t>
      </w:r>
      <w:r w:rsidR="000C3CC1">
        <w:rPr>
          <w:rStyle w:val="Refdenotaderodap"/>
          <w:rFonts w:ascii="Arial" w:hAnsi="Arial" w:cs="Arial"/>
          <w:sz w:val="24"/>
          <w:szCs w:val="24"/>
        </w:rPr>
        <w:footnoteReference w:id="3"/>
      </w:r>
      <w:r>
        <w:rPr>
          <w:rFonts w:ascii="Arial" w:hAnsi="Arial" w:cs="Arial"/>
          <w:sz w:val="24"/>
          <w:szCs w:val="24"/>
        </w:rPr>
        <w:t>, es</w:t>
      </w:r>
      <w:r w:rsidR="008B1376">
        <w:rPr>
          <w:rFonts w:ascii="Arial" w:hAnsi="Arial" w:cs="Arial"/>
          <w:sz w:val="24"/>
          <w:szCs w:val="24"/>
        </w:rPr>
        <w:t>tá a eleição do regime de bens, conceituado por Silvio Venosa como o</w:t>
      </w:r>
      <w:r w:rsidR="008B1376" w:rsidRPr="00EF699C">
        <w:rPr>
          <w:rFonts w:ascii="Arial" w:hAnsi="Arial" w:cs="Arial"/>
        </w:rPr>
        <w:t xml:space="preserve"> </w:t>
      </w:r>
      <w:r w:rsidR="008B1376" w:rsidRPr="004E7279">
        <w:rPr>
          <w:rFonts w:ascii="Arial" w:hAnsi="Arial" w:cs="Arial"/>
          <w:sz w:val="24"/>
          <w:szCs w:val="24"/>
        </w:rPr>
        <w:t>“estatuto que regula as relações patrimoniais entre os cônjuges”</w:t>
      </w:r>
      <w:r w:rsidR="00060FB6">
        <w:rPr>
          <w:rStyle w:val="Refdenotaderodap"/>
          <w:rFonts w:ascii="Arial" w:hAnsi="Arial" w:cs="Arial"/>
          <w:sz w:val="24"/>
          <w:szCs w:val="24"/>
        </w:rPr>
        <w:footnoteReference w:id="4"/>
      </w:r>
      <w:r w:rsidR="008B1376" w:rsidRPr="004E7279">
        <w:rPr>
          <w:rFonts w:ascii="Arial" w:hAnsi="Arial" w:cs="Arial"/>
          <w:sz w:val="24"/>
          <w:szCs w:val="24"/>
        </w:rPr>
        <w:t>.</w:t>
      </w:r>
    </w:p>
    <w:p w:rsidR="00E439D5" w:rsidRDefault="00173737" w:rsidP="00FA1F3F">
      <w:pPr>
        <w:tabs>
          <w:tab w:val="left" w:pos="1418"/>
          <w:tab w:val="left" w:pos="4830"/>
        </w:tabs>
        <w:ind w:firstLine="851"/>
        <w:jc w:val="both"/>
        <w:rPr>
          <w:rFonts w:ascii="Arial" w:hAnsi="Arial" w:cs="Arial"/>
          <w:sz w:val="24"/>
          <w:szCs w:val="24"/>
        </w:rPr>
      </w:pPr>
      <w:r>
        <w:rPr>
          <w:rFonts w:ascii="Arial" w:hAnsi="Arial" w:cs="Arial"/>
          <w:sz w:val="24"/>
          <w:szCs w:val="24"/>
        </w:rPr>
        <w:t xml:space="preserve">Nesse sentido, </w:t>
      </w:r>
      <w:r w:rsidR="00B2314E">
        <w:rPr>
          <w:rFonts w:ascii="Arial" w:hAnsi="Arial" w:cs="Arial"/>
          <w:sz w:val="24"/>
          <w:szCs w:val="24"/>
        </w:rPr>
        <w:t>a doutrina</w:t>
      </w:r>
      <w:r w:rsidR="00B2314E">
        <w:rPr>
          <w:rStyle w:val="Refdenotaderodap"/>
          <w:rFonts w:ascii="Arial" w:hAnsi="Arial" w:cs="Arial"/>
          <w:sz w:val="24"/>
          <w:szCs w:val="24"/>
        </w:rPr>
        <w:footnoteReference w:id="5"/>
      </w:r>
      <w:r w:rsidR="00B2314E">
        <w:rPr>
          <w:rFonts w:ascii="Arial" w:hAnsi="Arial" w:cs="Arial"/>
          <w:sz w:val="24"/>
          <w:szCs w:val="24"/>
        </w:rPr>
        <w:t xml:space="preserve"> consigna que </w:t>
      </w:r>
      <w:r>
        <w:rPr>
          <w:rFonts w:ascii="Arial" w:hAnsi="Arial" w:cs="Arial"/>
          <w:sz w:val="24"/>
          <w:szCs w:val="24"/>
        </w:rPr>
        <w:t>referido instituto ostenta três princípios norteadores: liberdade de estipulação, variedade de regimes e mutabilidade</w:t>
      </w:r>
      <w:r>
        <w:rPr>
          <w:rStyle w:val="Refdenotaderodap"/>
          <w:rFonts w:ascii="Arial" w:hAnsi="Arial" w:cs="Arial"/>
          <w:sz w:val="24"/>
          <w:szCs w:val="24"/>
        </w:rPr>
        <w:footnoteReference w:id="6"/>
      </w:r>
      <w:r>
        <w:rPr>
          <w:rFonts w:ascii="Arial" w:hAnsi="Arial" w:cs="Arial"/>
          <w:sz w:val="24"/>
          <w:szCs w:val="24"/>
        </w:rPr>
        <w:t xml:space="preserve">. </w:t>
      </w:r>
    </w:p>
    <w:p w:rsidR="00E439D5" w:rsidRDefault="00E439D5" w:rsidP="00FA1F3F">
      <w:pPr>
        <w:tabs>
          <w:tab w:val="left" w:pos="1418"/>
          <w:tab w:val="left" w:pos="4830"/>
        </w:tabs>
        <w:ind w:firstLine="851"/>
        <w:jc w:val="both"/>
        <w:rPr>
          <w:rFonts w:ascii="Arial" w:hAnsi="Arial" w:cs="Arial"/>
          <w:sz w:val="24"/>
          <w:szCs w:val="24"/>
        </w:rPr>
      </w:pPr>
      <w:r>
        <w:rPr>
          <w:rFonts w:ascii="Arial" w:hAnsi="Arial" w:cs="Arial"/>
          <w:sz w:val="24"/>
          <w:szCs w:val="24"/>
        </w:rPr>
        <w:t>Quanto ao primeiro</w:t>
      </w:r>
      <w:r w:rsidR="00137FD7">
        <w:rPr>
          <w:rFonts w:ascii="Arial" w:hAnsi="Arial" w:cs="Arial"/>
          <w:sz w:val="24"/>
          <w:szCs w:val="24"/>
        </w:rPr>
        <w:t xml:space="preserve"> princípio</w:t>
      </w:r>
      <w:r>
        <w:rPr>
          <w:rFonts w:ascii="Arial" w:hAnsi="Arial" w:cs="Arial"/>
          <w:sz w:val="24"/>
          <w:szCs w:val="24"/>
        </w:rPr>
        <w:t>, cogente ressaltar as palavras de Rémy Cabrillac:</w:t>
      </w:r>
    </w:p>
    <w:p w:rsidR="00E439D5" w:rsidRDefault="00E439D5" w:rsidP="00E439D5">
      <w:pPr>
        <w:tabs>
          <w:tab w:val="left" w:pos="1418"/>
          <w:tab w:val="left" w:pos="4830"/>
        </w:tabs>
        <w:ind w:firstLine="851"/>
        <w:jc w:val="both"/>
        <w:rPr>
          <w:rFonts w:ascii="Arial" w:hAnsi="Arial" w:cs="Arial"/>
          <w:sz w:val="24"/>
          <w:szCs w:val="24"/>
        </w:rPr>
      </w:pPr>
    </w:p>
    <w:p w:rsidR="003264C9" w:rsidRDefault="00E439D5" w:rsidP="003264C9">
      <w:pPr>
        <w:tabs>
          <w:tab w:val="left" w:pos="1418"/>
          <w:tab w:val="left" w:pos="4830"/>
        </w:tabs>
        <w:spacing w:line="240" w:lineRule="auto"/>
        <w:ind w:left="2268"/>
        <w:jc w:val="both"/>
        <w:rPr>
          <w:rFonts w:ascii="Arial" w:hAnsi="Arial" w:cs="Arial"/>
          <w:sz w:val="20"/>
          <w:szCs w:val="20"/>
        </w:rPr>
      </w:pPr>
      <w:r w:rsidRPr="00E439D5">
        <w:rPr>
          <w:rFonts w:ascii="Arial" w:hAnsi="Arial" w:cs="Arial"/>
          <w:sz w:val="20"/>
          <w:szCs w:val="20"/>
        </w:rPr>
        <w:t>A história dos regimes matrimoniais demonstra que a liberdade de convenções matrimoniais sempre foi mais ampla que a liberdade contratual ordinária. A justificação desse princípio era outra: ao permitir aos futuros esposos o direito de escolher um regime matrimonial adaptado às suas necessidades e desejos, o legislador encorajava o casamento. Essa é a razão para que se fale não em liberdade de escolher um regime matrimonial, mas, sobretudo, de lib</w:t>
      </w:r>
      <w:r w:rsidR="004E7279">
        <w:rPr>
          <w:rFonts w:ascii="Arial" w:hAnsi="Arial" w:cs="Arial"/>
          <w:sz w:val="20"/>
          <w:szCs w:val="20"/>
        </w:rPr>
        <w:t>erdade de convenção matrimonial</w:t>
      </w:r>
      <w:r w:rsidRPr="00E439D5">
        <w:rPr>
          <w:rFonts w:ascii="Arial" w:hAnsi="Arial" w:cs="Arial"/>
          <w:sz w:val="20"/>
          <w:szCs w:val="20"/>
        </w:rPr>
        <w:t>.</w:t>
      </w:r>
      <w:r w:rsidR="003264C9">
        <w:rPr>
          <w:rStyle w:val="Refdenotaderodap"/>
          <w:rFonts w:ascii="Arial" w:hAnsi="Arial" w:cs="Arial"/>
          <w:sz w:val="20"/>
          <w:szCs w:val="20"/>
        </w:rPr>
        <w:footnoteReference w:id="7"/>
      </w:r>
    </w:p>
    <w:p w:rsidR="003264C9" w:rsidRDefault="00EE1CAA" w:rsidP="00EE1CAA">
      <w:pPr>
        <w:tabs>
          <w:tab w:val="left" w:pos="1418"/>
          <w:tab w:val="left" w:pos="3375"/>
        </w:tabs>
        <w:ind w:left="2268"/>
        <w:jc w:val="both"/>
        <w:rPr>
          <w:rFonts w:ascii="Arial" w:hAnsi="Arial" w:cs="Arial"/>
          <w:sz w:val="24"/>
          <w:szCs w:val="24"/>
        </w:rPr>
      </w:pPr>
      <w:r>
        <w:rPr>
          <w:rFonts w:ascii="Arial" w:hAnsi="Arial" w:cs="Arial"/>
          <w:sz w:val="24"/>
          <w:szCs w:val="24"/>
        </w:rPr>
        <w:tab/>
      </w:r>
    </w:p>
    <w:p w:rsidR="00405CE7" w:rsidRDefault="00AA6CEC" w:rsidP="00E63780">
      <w:pPr>
        <w:tabs>
          <w:tab w:val="left" w:pos="1418"/>
          <w:tab w:val="left" w:pos="4830"/>
        </w:tabs>
        <w:ind w:firstLine="851"/>
        <w:jc w:val="both"/>
        <w:rPr>
          <w:rFonts w:ascii="Arial" w:hAnsi="Arial" w:cs="Arial"/>
          <w:sz w:val="24"/>
          <w:szCs w:val="24"/>
        </w:rPr>
      </w:pPr>
      <w:r>
        <w:rPr>
          <w:rFonts w:ascii="Arial" w:hAnsi="Arial" w:cs="Arial"/>
          <w:sz w:val="24"/>
          <w:szCs w:val="24"/>
        </w:rPr>
        <w:lastRenderedPageBreak/>
        <w:t xml:space="preserve">Assim, a liberdade de estipulação </w:t>
      </w:r>
      <w:r w:rsidR="00405CE7">
        <w:rPr>
          <w:rFonts w:ascii="Arial" w:hAnsi="Arial" w:cs="Arial"/>
          <w:sz w:val="24"/>
          <w:szCs w:val="24"/>
        </w:rPr>
        <w:t xml:space="preserve">do regime de bens </w:t>
      </w:r>
      <w:r>
        <w:rPr>
          <w:rFonts w:ascii="Arial" w:hAnsi="Arial" w:cs="Arial"/>
          <w:sz w:val="24"/>
          <w:szCs w:val="24"/>
        </w:rPr>
        <w:t>garante</w:t>
      </w:r>
      <w:r w:rsidR="00405CE7">
        <w:rPr>
          <w:rFonts w:ascii="Arial" w:hAnsi="Arial" w:cs="Arial"/>
          <w:sz w:val="24"/>
          <w:szCs w:val="24"/>
        </w:rPr>
        <w:t>, mediante o incentivo ao instituto do casamento,</w:t>
      </w:r>
      <w:r>
        <w:rPr>
          <w:rFonts w:ascii="Arial" w:hAnsi="Arial" w:cs="Arial"/>
          <w:sz w:val="24"/>
          <w:szCs w:val="24"/>
        </w:rPr>
        <w:t xml:space="preserve"> </w:t>
      </w:r>
      <w:r w:rsidR="00405CE7">
        <w:rPr>
          <w:rFonts w:ascii="Arial" w:hAnsi="Arial" w:cs="Arial"/>
          <w:sz w:val="24"/>
          <w:szCs w:val="24"/>
        </w:rPr>
        <w:t xml:space="preserve">que os nubentes escolham qual regime melhor se encaixa em suas vontades e convicções, podendo, inclusive, </w:t>
      </w:r>
      <w:r w:rsidR="00927FF9">
        <w:rPr>
          <w:rFonts w:ascii="Arial" w:hAnsi="Arial" w:cs="Arial"/>
          <w:sz w:val="24"/>
          <w:szCs w:val="24"/>
        </w:rPr>
        <w:t xml:space="preserve">criar e </w:t>
      </w:r>
      <w:r w:rsidR="00405CE7">
        <w:rPr>
          <w:rFonts w:ascii="Arial" w:hAnsi="Arial" w:cs="Arial"/>
          <w:sz w:val="24"/>
          <w:szCs w:val="24"/>
        </w:rPr>
        <w:t>fundir espécies</w:t>
      </w:r>
      <w:r w:rsidR="00405CE7">
        <w:rPr>
          <w:rStyle w:val="Refdenotaderodap"/>
          <w:rFonts w:ascii="Arial" w:hAnsi="Arial" w:cs="Arial"/>
          <w:sz w:val="24"/>
          <w:szCs w:val="24"/>
        </w:rPr>
        <w:footnoteReference w:id="8"/>
      </w:r>
      <w:r w:rsidR="00405CE7">
        <w:rPr>
          <w:rFonts w:ascii="Arial" w:hAnsi="Arial" w:cs="Arial"/>
          <w:sz w:val="24"/>
          <w:szCs w:val="24"/>
        </w:rPr>
        <w:t>.</w:t>
      </w:r>
      <w:r w:rsidR="00163D22">
        <w:rPr>
          <w:rFonts w:ascii="Arial" w:hAnsi="Arial" w:cs="Arial"/>
          <w:sz w:val="24"/>
          <w:szCs w:val="24"/>
        </w:rPr>
        <w:t xml:space="preserve"> Referida escolha, que guiará a vida patrimonial dos nubentes, é feita mediante a realização do pacto antenupcial</w:t>
      </w:r>
      <w:r w:rsidR="00163D22">
        <w:rPr>
          <w:rStyle w:val="Refdenotaderodap"/>
          <w:rFonts w:ascii="Arial" w:hAnsi="Arial" w:cs="Arial"/>
          <w:sz w:val="24"/>
          <w:szCs w:val="24"/>
        </w:rPr>
        <w:footnoteReference w:id="9"/>
      </w:r>
      <w:r w:rsidR="00163D22">
        <w:rPr>
          <w:rFonts w:ascii="Arial" w:hAnsi="Arial" w:cs="Arial"/>
          <w:sz w:val="24"/>
          <w:szCs w:val="24"/>
        </w:rPr>
        <w:t xml:space="preserve">, vale dizer, por meio de um </w:t>
      </w:r>
      <w:r w:rsidR="00301603">
        <w:rPr>
          <w:rFonts w:ascii="Arial" w:hAnsi="Arial" w:cs="Arial"/>
          <w:sz w:val="24"/>
          <w:szCs w:val="24"/>
        </w:rPr>
        <w:t>negócio jurídico</w:t>
      </w:r>
      <w:r w:rsidR="00B07403">
        <w:rPr>
          <w:rFonts w:ascii="Arial" w:hAnsi="Arial" w:cs="Arial"/>
          <w:sz w:val="24"/>
          <w:szCs w:val="24"/>
        </w:rPr>
        <w:t xml:space="preserve"> celebrado </w:t>
      </w:r>
      <w:r w:rsidR="00163D22">
        <w:rPr>
          <w:rFonts w:ascii="Arial" w:hAnsi="Arial" w:cs="Arial"/>
          <w:sz w:val="24"/>
          <w:szCs w:val="24"/>
        </w:rPr>
        <w:t>mediante escrit</w:t>
      </w:r>
      <w:r w:rsidR="00B07403">
        <w:rPr>
          <w:rFonts w:ascii="Arial" w:hAnsi="Arial" w:cs="Arial"/>
          <w:sz w:val="24"/>
          <w:szCs w:val="24"/>
        </w:rPr>
        <w:t>ura pública lavrada em cartório, antes do matrimônio</w:t>
      </w:r>
      <w:r w:rsidR="00F5226C">
        <w:rPr>
          <w:rStyle w:val="Refdenotaderodap"/>
          <w:rFonts w:ascii="Arial" w:hAnsi="Arial" w:cs="Arial"/>
          <w:sz w:val="24"/>
          <w:szCs w:val="24"/>
        </w:rPr>
        <w:footnoteReference w:id="10"/>
      </w:r>
      <w:r w:rsidR="00B07403">
        <w:rPr>
          <w:rFonts w:ascii="Arial" w:hAnsi="Arial" w:cs="Arial"/>
          <w:sz w:val="24"/>
          <w:szCs w:val="24"/>
        </w:rPr>
        <w:t>.</w:t>
      </w:r>
      <w:r w:rsidR="00E2494F">
        <w:rPr>
          <w:rFonts w:ascii="Arial" w:hAnsi="Arial" w:cs="Arial"/>
          <w:sz w:val="24"/>
          <w:szCs w:val="24"/>
        </w:rPr>
        <w:t xml:space="preserve"> </w:t>
      </w:r>
      <w:r w:rsidR="00B07403">
        <w:rPr>
          <w:rFonts w:ascii="Arial" w:hAnsi="Arial" w:cs="Arial"/>
          <w:sz w:val="24"/>
          <w:szCs w:val="24"/>
        </w:rPr>
        <w:t>Não é válida, portanto, a indicação do regime de bens no termo do casamento</w:t>
      </w:r>
      <w:r w:rsidR="00B07403">
        <w:rPr>
          <w:rStyle w:val="Refdenotaderodap"/>
          <w:rFonts w:ascii="Arial" w:hAnsi="Arial" w:cs="Arial"/>
          <w:sz w:val="24"/>
          <w:szCs w:val="24"/>
        </w:rPr>
        <w:footnoteReference w:id="11"/>
      </w:r>
      <w:r w:rsidR="00F5226C">
        <w:rPr>
          <w:rFonts w:ascii="Arial" w:hAnsi="Arial" w:cs="Arial"/>
          <w:sz w:val="24"/>
          <w:szCs w:val="24"/>
        </w:rPr>
        <w:t>.</w:t>
      </w:r>
    </w:p>
    <w:p w:rsidR="00184BE0" w:rsidRDefault="00184BE0" w:rsidP="00A14B33">
      <w:pPr>
        <w:tabs>
          <w:tab w:val="left" w:pos="1418"/>
          <w:tab w:val="left" w:pos="4830"/>
        </w:tabs>
        <w:ind w:firstLine="851"/>
        <w:jc w:val="both"/>
        <w:rPr>
          <w:rFonts w:ascii="Arial" w:hAnsi="Arial" w:cs="Arial"/>
          <w:sz w:val="24"/>
          <w:szCs w:val="24"/>
        </w:rPr>
      </w:pPr>
      <w:r>
        <w:rPr>
          <w:rFonts w:ascii="Arial" w:hAnsi="Arial" w:cs="Arial"/>
          <w:sz w:val="24"/>
          <w:szCs w:val="24"/>
        </w:rPr>
        <w:t>A liberdade de escolha, ainda, deve ser adstrita ao âmbito econômico</w:t>
      </w:r>
      <w:r w:rsidR="004C21CE">
        <w:rPr>
          <w:rStyle w:val="Refdenotaderodap"/>
          <w:rFonts w:ascii="Arial" w:hAnsi="Arial" w:cs="Arial"/>
          <w:sz w:val="24"/>
          <w:szCs w:val="24"/>
        </w:rPr>
        <w:footnoteReference w:id="12"/>
      </w:r>
      <w:r>
        <w:rPr>
          <w:rFonts w:ascii="Arial" w:hAnsi="Arial" w:cs="Arial"/>
          <w:sz w:val="24"/>
          <w:szCs w:val="24"/>
        </w:rPr>
        <w:t xml:space="preserve">, isto é, não pode dispor a respeito de deveres conjugais ou atinentes a relações de paternidade ou maternidade, </w:t>
      </w:r>
      <w:r w:rsidR="001C2382">
        <w:rPr>
          <w:rFonts w:ascii="Arial" w:hAnsi="Arial" w:cs="Arial"/>
          <w:sz w:val="24"/>
          <w:szCs w:val="24"/>
        </w:rPr>
        <w:t xml:space="preserve">sob </w:t>
      </w:r>
      <w:r>
        <w:rPr>
          <w:rFonts w:ascii="Arial" w:hAnsi="Arial" w:cs="Arial"/>
          <w:sz w:val="24"/>
          <w:szCs w:val="24"/>
        </w:rPr>
        <w:t>pena de desviar a função patrimonial do instituto e, ainda, sujeitá-lo a fundamentos de cunho pessoal</w:t>
      </w:r>
      <w:r>
        <w:rPr>
          <w:rStyle w:val="Refdenotaderodap"/>
          <w:rFonts w:ascii="Arial" w:hAnsi="Arial" w:cs="Arial"/>
          <w:sz w:val="24"/>
          <w:szCs w:val="24"/>
        </w:rPr>
        <w:footnoteReference w:id="13"/>
      </w:r>
      <w:r>
        <w:rPr>
          <w:rFonts w:ascii="Arial" w:hAnsi="Arial" w:cs="Arial"/>
          <w:sz w:val="24"/>
          <w:szCs w:val="24"/>
        </w:rPr>
        <w:t xml:space="preserve">. </w:t>
      </w:r>
    </w:p>
    <w:p w:rsidR="006264BF" w:rsidRDefault="00E7744B" w:rsidP="00A14B33">
      <w:pPr>
        <w:tabs>
          <w:tab w:val="left" w:pos="1418"/>
          <w:tab w:val="left" w:pos="4830"/>
        </w:tabs>
        <w:ind w:firstLine="851"/>
        <w:jc w:val="both"/>
        <w:rPr>
          <w:rFonts w:ascii="Arial" w:hAnsi="Arial" w:cs="Arial"/>
          <w:sz w:val="24"/>
          <w:szCs w:val="24"/>
        </w:rPr>
      </w:pPr>
      <w:r>
        <w:rPr>
          <w:rFonts w:ascii="Arial" w:hAnsi="Arial" w:cs="Arial"/>
          <w:sz w:val="24"/>
          <w:szCs w:val="24"/>
        </w:rPr>
        <w:t>Sobre o tema</w:t>
      </w:r>
      <w:r w:rsidR="00ED0FA4">
        <w:rPr>
          <w:rFonts w:ascii="Arial" w:hAnsi="Arial" w:cs="Arial"/>
          <w:sz w:val="24"/>
          <w:szCs w:val="24"/>
        </w:rPr>
        <w:t xml:space="preserve">, </w:t>
      </w:r>
      <w:r w:rsidR="006264BF">
        <w:rPr>
          <w:rFonts w:ascii="Arial" w:hAnsi="Arial" w:cs="Arial"/>
          <w:sz w:val="24"/>
          <w:szCs w:val="24"/>
        </w:rPr>
        <w:t xml:space="preserve">Flávio Tartuce </w:t>
      </w:r>
      <w:r w:rsidR="00ED0FA4">
        <w:rPr>
          <w:rFonts w:ascii="Arial" w:hAnsi="Arial" w:cs="Arial"/>
          <w:sz w:val="24"/>
          <w:szCs w:val="24"/>
        </w:rPr>
        <w:t>elenca, ainda, o princípio da indivisibilidade do regime de bens, sobre o qual discorre:</w:t>
      </w:r>
    </w:p>
    <w:p w:rsidR="006264BF" w:rsidRDefault="006264BF" w:rsidP="006264BF">
      <w:pPr>
        <w:tabs>
          <w:tab w:val="left" w:pos="1418"/>
          <w:tab w:val="left" w:pos="4830"/>
        </w:tabs>
        <w:ind w:firstLine="851"/>
        <w:jc w:val="both"/>
        <w:rPr>
          <w:rFonts w:ascii="Arial" w:hAnsi="Arial" w:cs="Arial"/>
          <w:sz w:val="24"/>
          <w:szCs w:val="24"/>
        </w:rPr>
      </w:pPr>
    </w:p>
    <w:p w:rsidR="006264BF" w:rsidRDefault="006264BF" w:rsidP="006264BF">
      <w:pPr>
        <w:tabs>
          <w:tab w:val="left" w:pos="1418"/>
          <w:tab w:val="left" w:pos="4830"/>
        </w:tabs>
        <w:spacing w:line="240" w:lineRule="auto"/>
        <w:ind w:left="2268"/>
        <w:jc w:val="both"/>
        <w:rPr>
          <w:rFonts w:ascii="Arial" w:eastAsia="TimesNewRomanPSMT" w:hAnsi="Arial" w:cs="Arial"/>
          <w:sz w:val="20"/>
          <w:szCs w:val="20"/>
        </w:rPr>
      </w:pPr>
      <w:r>
        <w:rPr>
          <w:rFonts w:ascii="Arial" w:eastAsia="TimesNewRomanPSMT" w:hAnsi="Arial" w:cs="Arial"/>
          <w:sz w:val="20"/>
          <w:szCs w:val="20"/>
        </w:rPr>
        <w:t>A</w:t>
      </w:r>
      <w:r w:rsidRPr="00E60422">
        <w:rPr>
          <w:rFonts w:ascii="Arial" w:eastAsia="TimesNewRomanPSMT" w:hAnsi="Arial" w:cs="Arial"/>
          <w:sz w:val="20"/>
          <w:szCs w:val="20"/>
        </w:rPr>
        <w:t xml:space="preserve">pesar de ser possível juridicamente a criação de outros regimes que não estejam previstos em lei, não é lícito fracionar os regimes em relação aos </w:t>
      </w:r>
      <w:r w:rsidRPr="00E60422">
        <w:rPr>
          <w:rFonts w:ascii="Arial" w:eastAsia="TimesNewRomanPSMT" w:hAnsi="Arial" w:cs="Arial"/>
          <w:sz w:val="20"/>
          <w:szCs w:val="20"/>
        </w:rPr>
        <w:lastRenderedPageBreak/>
        <w:t>cônjuges. Em outras palavras, o regime é único para ambos os consortes, diante da isonomia constitucional entre marido e mulher.</w:t>
      </w:r>
      <w:r w:rsidR="00ED0FA4">
        <w:rPr>
          <w:rStyle w:val="Refdenotaderodap"/>
          <w:rFonts w:ascii="Arial" w:eastAsia="TimesNewRomanPSMT" w:hAnsi="Arial" w:cs="Arial"/>
          <w:sz w:val="20"/>
          <w:szCs w:val="20"/>
        </w:rPr>
        <w:footnoteReference w:id="14"/>
      </w:r>
    </w:p>
    <w:p w:rsidR="006264BF" w:rsidRDefault="006264BF" w:rsidP="004A5848">
      <w:pPr>
        <w:tabs>
          <w:tab w:val="left" w:pos="1418"/>
          <w:tab w:val="left" w:pos="4830"/>
        </w:tabs>
        <w:ind w:firstLine="709"/>
        <w:jc w:val="both"/>
        <w:rPr>
          <w:rFonts w:ascii="Arial" w:hAnsi="Arial" w:cs="Arial"/>
          <w:sz w:val="24"/>
          <w:szCs w:val="24"/>
        </w:rPr>
      </w:pPr>
    </w:p>
    <w:p w:rsidR="00636978" w:rsidRDefault="00CF2894" w:rsidP="00E63780">
      <w:pPr>
        <w:tabs>
          <w:tab w:val="left" w:pos="1418"/>
          <w:tab w:val="left" w:pos="4830"/>
        </w:tabs>
        <w:ind w:firstLine="851"/>
        <w:jc w:val="both"/>
        <w:rPr>
          <w:rFonts w:ascii="Arial" w:hAnsi="Arial" w:cs="Arial"/>
          <w:sz w:val="24"/>
          <w:szCs w:val="24"/>
        </w:rPr>
      </w:pPr>
      <w:r>
        <w:rPr>
          <w:rFonts w:ascii="Arial" w:hAnsi="Arial" w:cs="Arial"/>
          <w:sz w:val="24"/>
          <w:szCs w:val="24"/>
        </w:rPr>
        <w:t>A mutabilidade, por sua vez,</w:t>
      </w:r>
      <w:r w:rsidR="00F67D0E">
        <w:rPr>
          <w:rFonts w:ascii="Arial" w:hAnsi="Arial" w:cs="Arial"/>
          <w:sz w:val="24"/>
          <w:szCs w:val="24"/>
        </w:rPr>
        <w:t xml:space="preserve"> revela</w:t>
      </w:r>
      <w:r>
        <w:rPr>
          <w:rFonts w:ascii="Arial" w:hAnsi="Arial" w:cs="Arial"/>
          <w:sz w:val="24"/>
          <w:szCs w:val="24"/>
        </w:rPr>
        <w:t>-se</w:t>
      </w:r>
      <w:r w:rsidR="00F67D0E">
        <w:rPr>
          <w:rFonts w:ascii="Arial" w:hAnsi="Arial" w:cs="Arial"/>
          <w:sz w:val="24"/>
          <w:szCs w:val="24"/>
        </w:rPr>
        <w:t xml:space="preserve"> princípio inédito no Código Civil de 2002, haja vista a previsão, no Código Civil de 1916, da irrevogabilidade do regime de bens</w:t>
      </w:r>
      <w:r w:rsidR="00F67D0E">
        <w:rPr>
          <w:rStyle w:val="Refdenotaderodap"/>
          <w:rFonts w:ascii="Arial" w:hAnsi="Arial" w:cs="Arial"/>
          <w:sz w:val="24"/>
          <w:szCs w:val="24"/>
        </w:rPr>
        <w:footnoteReference w:id="15"/>
      </w:r>
      <w:r w:rsidR="009C2B00">
        <w:rPr>
          <w:rFonts w:ascii="Arial" w:hAnsi="Arial" w:cs="Arial"/>
          <w:sz w:val="24"/>
          <w:szCs w:val="24"/>
        </w:rPr>
        <w:t xml:space="preserve">. A inovação </w:t>
      </w:r>
      <w:r w:rsidR="009D1BD2">
        <w:rPr>
          <w:rFonts w:ascii="Arial" w:hAnsi="Arial" w:cs="Arial"/>
          <w:sz w:val="24"/>
          <w:szCs w:val="24"/>
        </w:rPr>
        <w:t xml:space="preserve">traduziu a possibilidade de alterar pela via judicial o </w:t>
      </w:r>
      <w:r w:rsidR="009C2B00">
        <w:rPr>
          <w:rFonts w:ascii="Arial" w:hAnsi="Arial" w:cs="Arial"/>
          <w:sz w:val="24"/>
          <w:szCs w:val="24"/>
        </w:rPr>
        <w:t xml:space="preserve">regime de bens escolhido, </w:t>
      </w:r>
      <w:r w:rsidR="009D1BD2">
        <w:rPr>
          <w:rFonts w:ascii="Arial" w:hAnsi="Arial" w:cs="Arial"/>
          <w:sz w:val="24"/>
          <w:szCs w:val="24"/>
        </w:rPr>
        <w:t xml:space="preserve">desde que de maneira motivada por ambos os cônjuges e </w:t>
      </w:r>
      <w:r w:rsidR="00F5226C">
        <w:rPr>
          <w:rFonts w:ascii="Arial" w:hAnsi="Arial" w:cs="Arial"/>
          <w:sz w:val="24"/>
          <w:szCs w:val="24"/>
        </w:rPr>
        <w:t xml:space="preserve">com </w:t>
      </w:r>
      <w:r w:rsidR="009D1BD2">
        <w:rPr>
          <w:rFonts w:ascii="Arial" w:hAnsi="Arial" w:cs="Arial"/>
          <w:sz w:val="24"/>
          <w:szCs w:val="24"/>
        </w:rPr>
        <w:t xml:space="preserve">respeito a direito de terceiros. </w:t>
      </w:r>
    </w:p>
    <w:p w:rsidR="006F618B" w:rsidRDefault="00453DF1" w:rsidP="00E63780">
      <w:pPr>
        <w:tabs>
          <w:tab w:val="left" w:pos="1418"/>
          <w:tab w:val="left" w:pos="4830"/>
        </w:tabs>
        <w:ind w:firstLine="851"/>
        <w:jc w:val="both"/>
        <w:rPr>
          <w:rFonts w:ascii="Arial" w:hAnsi="Arial" w:cs="Arial"/>
          <w:sz w:val="24"/>
          <w:szCs w:val="24"/>
        </w:rPr>
      </w:pPr>
      <w:r>
        <w:rPr>
          <w:rFonts w:ascii="Arial" w:hAnsi="Arial" w:cs="Arial"/>
          <w:sz w:val="24"/>
          <w:szCs w:val="24"/>
        </w:rPr>
        <w:t xml:space="preserve">Sobre o tema, </w:t>
      </w:r>
      <w:r w:rsidR="0026337B">
        <w:rPr>
          <w:rFonts w:ascii="Arial" w:hAnsi="Arial" w:cs="Arial"/>
          <w:sz w:val="24"/>
          <w:szCs w:val="24"/>
        </w:rPr>
        <w:t>Rolf Madaleno destaca que</w:t>
      </w:r>
      <w:r w:rsidR="00BF7EB4">
        <w:rPr>
          <w:rFonts w:ascii="Arial" w:hAnsi="Arial" w:cs="Arial"/>
          <w:sz w:val="24"/>
          <w:szCs w:val="24"/>
        </w:rPr>
        <w:t>, nada obstante a possibilidade de mudança esteja subordinada a certos requisitos, a inovação enseja um habitat à má-fé</w:t>
      </w:r>
      <w:r w:rsidR="006F618B">
        <w:rPr>
          <w:rFonts w:ascii="Arial" w:hAnsi="Arial" w:cs="Arial"/>
          <w:sz w:val="24"/>
          <w:szCs w:val="24"/>
        </w:rPr>
        <w:t xml:space="preserve">. Segundo o doutrinador, caberia à lei a tarefa de vetar a possibilidade de alteração de regime de bens que implique restrição de direitos, a fim de admitir somente mudanças que ampliassem </w:t>
      </w:r>
      <w:r w:rsidR="00F5226C">
        <w:rPr>
          <w:rFonts w:ascii="Arial" w:hAnsi="Arial" w:cs="Arial"/>
          <w:sz w:val="24"/>
          <w:szCs w:val="24"/>
        </w:rPr>
        <w:t>as garantias patrimoniais</w:t>
      </w:r>
      <w:r w:rsidR="006F618B">
        <w:rPr>
          <w:rFonts w:ascii="Arial" w:hAnsi="Arial" w:cs="Arial"/>
          <w:sz w:val="24"/>
          <w:szCs w:val="24"/>
        </w:rPr>
        <w:t xml:space="preserve"> do cônjuge</w:t>
      </w:r>
      <w:r w:rsidR="006F618B">
        <w:rPr>
          <w:rStyle w:val="Refdenotaderodap"/>
          <w:rFonts w:ascii="Arial" w:hAnsi="Arial" w:cs="Arial"/>
          <w:sz w:val="24"/>
          <w:szCs w:val="24"/>
        </w:rPr>
        <w:footnoteReference w:id="16"/>
      </w:r>
      <w:r w:rsidR="006F618B">
        <w:rPr>
          <w:rFonts w:ascii="Arial" w:hAnsi="Arial" w:cs="Arial"/>
          <w:sz w:val="24"/>
          <w:szCs w:val="24"/>
        </w:rPr>
        <w:t xml:space="preserve">. </w:t>
      </w:r>
    </w:p>
    <w:p w:rsidR="005E755E" w:rsidRDefault="006B7884" w:rsidP="00E63780">
      <w:pPr>
        <w:tabs>
          <w:tab w:val="left" w:pos="1418"/>
          <w:tab w:val="left" w:pos="4830"/>
        </w:tabs>
        <w:ind w:firstLine="851"/>
        <w:jc w:val="both"/>
        <w:rPr>
          <w:rFonts w:ascii="Arial" w:hAnsi="Arial" w:cs="Arial"/>
          <w:sz w:val="24"/>
          <w:szCs w:val="24"/>
        </w:rPr>
      </w:pPr>
      <w:r>
        <w:rPr>
          <w:rFonts w:ascii="Arial" w:hAnsi="Arial" w:cs="Arial"/>
          <w:sz w:val="24"/>
          <w:szCs w:val="24"/>
        </w:rPr>
        <w:t xml:space="preserve">Nada obstante </w:t>
      </w:r>
      <w:r w:rsidR="009056A6">
        <w:rPr>
          <w:rFonts w:ascii="Arial" w:hAnsi="Arial" w:cs="Arial"/>
          <w:sz w:val="24"/>
          <w:szCs w:val="24"/>
        </w:rPr>
        <w:t xml:space="preserve">a </w:t>
      </w:r>
      <w:r w:rsidR="00425F0E">
        <w:rPr>
          <w:rFonts w:ascii="Arial" w:hAnsi="Arial" w:cs="Arial"/>
          <w:sz w:val="24"/>
          <w:szCs w:val="24"/>
        </w:rPr>
        <w:t xml:space="preserve">regra geral, há, ainda, </w:t>
      </w:r>
      <w:r w:rsidR="006340A9">
        <w:rPr>
          <w:rFonts w:ascii="Arial" w:hAnsi="Arial" w:cs="Arial"/>
          <w:sz w:val="24"/>
          <w:szCs w:val="24"/>
        </w:rPr>
        <w:t>a possibilidade de o regime de bens não ficar a cargo</w:t>
      </w:r>
      <w:r w:rsidR="009056A6">
        <w:rPr>
          <w:rFonts w:ascii="Arial" w:hAnsi="Arial" w:cs="Arial"/>
          <w:sz w:val="24"/>
          <w:szCs w:val="24"/>
        </w:rPr>
        <w:t xml:space="preserve"> da escolha</w:t>
      </w:r>
      <w:r w:rsidR="006340A9">
        <w:rPr>
          <w:rFonts w:ascii="Arial" w:hAnsi="Arial" w:cs="Arial"/>
          <w:sz w:val="24"/>
          <w:szCs w:val="24"/>
        </w:rPr>
        <w:t xml:space="preserve"> dos nubentes e tampouco ser suprido pelo regime legal dispositivo. É o caso do regime de separação obrigatória</w:t>
      </w:r>
      <w:r w:rsidR="001C2382">
        <w:rPr>
          <w:rFonts w:ascii="Arial" w:hAnsi="Arial" w:cs="Arial"/>
          <w:sz w:val="24"/>
          <w:szCs w:val="24"/>
        </w:rPr>
        <w:t>/legal</w:t>
      </w:r>
      <w:r w:rsidR="006340A9">
        <w:rPr>
          <w:rFonts w:ascii="Arial" w:hAnsi="Arial" w:cs="Arial"/>
          <w:sz w:val="24"/>
          <w:szCs w:val="24"/>
        </w:rPr>
        <w:t xml:space="preserve"> de bens, o qual é elencado </w:t>
      </w:r>
      <w:r w:rsidR="00054A78">
        <w:rPr>
          <w:rFonts w:ascii="Arial" w:hAnsi="Arial" w:cs="Arial"/>
          <w:sz w:val="24"/>
          <w:szCs w:val="24"/>
        </w:rPr>
        <w:t xml:space="preserve">em hipóteses específicas previstas </w:t>
      </w:r>
      <w:r w:rsidR="00E7744B">
        <w:rPr>
          <w:rFonts w:ascii="Arial" w:hAnsi="Arial" w:cs="Arial"/>
          <w:sz w:val="24"/>
          <w:szCs w:val="24"/>
        </w:rPr>
        <w:t>no artigo 1.641, do Código Civil</w:t>
      </w:r>
      <w:r w:rsidR="009C15D1">
        <w:rPr>
          <w:rStyle w:val="Refdenotaderodap"/>
          <w:rFonts w:ascii="Arial" w:hAnsi="Arial" w:cs="Arial"/>
          <w:sz w:val="24"/>
          <w:szCs w:val="24"/>
        </w:rPr>
        <w:footnoteReference w:id="17"/>
      </w:r>
      <w:r w:rsidR="009C15D1">
        <w:rPr>
          <w:rFonts w:ascii="Arial" w:hAnsi="Arial" w:cs="Arial"/>
          <w:sz w:val="24"/>
          <w:szCs w:val="24"/>
        </w:rPr>
        <w:t>.</w:t>
      </w:r>
    </w:p>
    <w:p w:rsidR="0026337B" w:rsidRPr="006F618B" w:rsidRDefault="00EE1CAA" w:rsidP="00E63780">
      <w:pPr>
        <w:tabs>
          <w:tab w:val="left" w:pos="1418"/>
          <w:tab w:val="left" w:pos="4830"/>
        </w:tabs>
        <w:ind w:firstLine="851"/>
        <w:jc w:val="both"/>
        <w:rPr>
          <w:rFonts w:ascii="Arial" w:hAnsi="Arial" w:cs="Arial"/>
          <w:sz w:val="24"/>
          <w:szCs w:val="24"/>
        </w:rPr>
      </w:pPr>
      <w:r>
        <w:rPr>
          <w:rFonts w:ascii="Arial" w:hAnsi="Arial" w:cs="Arial"/>
          <w:sz w:val="24"/>
          <w:szCs w:val="24"/>
        </w:rPr>
        <w:t xml:space="preserve">A escolha de regime de bens se revela de suma importância, sobretudo para a aferição de eventual direito à herança do cônjuge falecido. Isso porque, a depender do regime de bens vigente, o cônjuge terá direito apenas à meação (metade dos bens que integram o patrimônio </w:t>
      </w:r>
      <w:r w:rsidR="008357E5">
        <w:rPr>
          <w:rFonts w:ascii="Arial" w:hAnsi="Arial" w:cs="Arial"/>
          <w:sz w:val="24"/>
          <w:szCs w:val="24"/>
        </w:rPr>
        <w:t>do casal), não integrando o rol de herdeiros necessários</w:t>
      </w:r>
      <w:r w:rsidR="00A12378">
        <w:rPr>
          <w:rStyle w:val="Refdenotaderodap"/>
          <w:rFonts w:ascii="Arial" w:hAnsi="Arial" w:cs="Arial"/>
          <w:sz w:val="24"/>
          <w:szCs w:val="24"/>
        </w:rPr>
        <w:footnoteReference w:id="18"/>
      </w:r>
      <w:r w:rsidR="008357E5">
        <w:rPr>
          <w:rFonts w:ascii="Arial" w:hAnsi="Arial" w:cs="Arial"/>
          <w:sz w:val="24"/>
          <w:szCs w:val="24"/>
        </w:rPr>
        <w:t xml:space="preserve"> previsto no Código Civil. </w:t>
      </w:r>
    </w:p>
    <w:p w:rsidR="00670F7A" w:rsidRDefault="002F1F85" w:rsidP="00E63780">
      <w:pPr>
        <w:tabs>
          <w:tab w:val="left" w:pos="4830"/>
        </w:tabs>
        <w:ind w:firstLine="851"/>
        <w:jc w:val="both"/>
        <w:rPr>
          <w:rFonts w:ascii="Arial" w:hAnsi="Arial" w:cs="Arial"/>
          <w:sz w:val="24"/>
          <w:szCs w:val="24"/>
        </w:rPr>
      </w:pPr>
      <w:r>
        <w:rPr>
          <w:rFonts w:ascii="Arial" w:hAnsi="Arial" w:cs="Arial"/>
          <w:sz w:val="24"/>
          <w:szCs w:val="24"/>
        </w:rPr>
        <w:t xml:space="preserve">Por razões didáticas, serão brevemente abordadas nos tópicos seguintes as espécies de regimes de bens: comunhão universal, comunhão parcial e separação de </w:t>
      </w:r>
      <w:r>
        <w:rPr>
          <w:rFonts w:ascii="Arial" w:hAnsi="Arial" w:cs="Arial"/>
          <w:sz w:val="24"/>
          <w:szCs w:val="24"/>
        </w:rPr>
        <w:lastRenderedPageBreak/>
        <w:t xml:space="preserve">bens, </w:t>
      </w:r>
      <w:r w:rsidR="00961055">
        <w:rPr>
          <w:rFonts w:ascii="Arial" w:hAnsi="Arial" w:cs="Arial"/>
          <w:sz w:val="24"/>
          <w:szCs w:val="24"/>
        </w:rPr>
        <w:t xml:space="preserve">com maior aprofundamento </w:t>
      </w:r>
      <w:r w:rsidR="00CD12BD">
        <w:rPr>
          <w:rFonts w:ascii="Arial" w:hAnsi="Arial" w:cs="Arial"/>
          <w:sz w:val="24"/>
          <w:szCs w:val="24"/>
        </w:rPr>
        <w:t>nesta última,</w:t>
      </w:r>
      <w:r w:rsidR="00961055">
        <w:rPr>
          <w:rFonts w:ascii="Arial" w:hAnsi="Arial" w:cs="Arial"/>
          <w:sz w:val="24"/>
          <w:szCs w:val="24"/>
        </w:rPr>
        <w:t xml:space="preserve"> por ser a espécie </w:t>
      </w:r>
      <w:r w:rsidR="004F34CD">
        <w:rPr>
          <w:rFonts w:ascii="Arial" w:hAnsi="Arial" w:cs="Arial"/>
          <w:sz w:val="24"/>
          <w:szCs w:val="24"/>
        </w:rPr>
        <w:t>objeto</w:t>
      </w:r>
      <w:r w:rsidR="00AC2817">
        <w:rPr>
          <w:rFonts w:ascii="Arial" w:hAnsi="Arial" w:cs="Arial"/>
          <w:sz w:val="24"/>
          <w:szCs w:val="24"/>
        </w:rPr>
        <w:t xml:space="preserve"> da presente discussão.</w:t>
      </w:r>
    </w:p>
    <w:p w:rsidR="007C3AEF" w:rsidRDefault="007C3AEF" w:rsidP="00E63780">
      <w:pPr>
        <w:tabs>
          <w:tab w:val="left" w:pos="4830"/>
        </w:tabs>
        <w:ind w:firstLine="851"/>
        <w:jc w:val="both"/>
        <w:rPr>
          <w:rFonts w:ascii="Arial" w:hAnsi="Arial" w:cs="Arial"/>
          <w:sz w:val="24"/>
          <w:szCs w:val="24"/>
        </w:rPr>
      </w:pPr>
    </w:p>
    <w:p w:rsidR="003E69F7" w:rsidRDefault="003E69F7" w:rsidP="003E69F7">
      <w:pPr>
        <w:tabs>
          <w:tab w:val="left" w:pos="4830"/>
        </w:tabs>
        <w:jc w:val="both"/>
        <w:rPr>
          <w:rFonts w:ascii="Arial" w:hAnsi="Arial" w:cs="Arial"/>
          <w:sz w:val="24"/>
          <w:szCs w:val="24"/>
        </w:rPr>
      </w:pPr>
      <w:r>
        <w:rPr>
          <w:rFonts w:ascii="Arial" w:hAnsi="Arial" w:cs="Arial"/>
          <w:sz w:val="24"/>
          <w:szCs w:val="24"/>
        </w:rPr>
        <w:t xml:space="preserve">2.2. COMUNHÃO UNIVERSAL DE BENS </w:t>
      </w:r>
    </w:p>
    <w:p w:rsidR="00CC14FF" w:rsidRDefault="00CC14FF" w:rsidP="003E69F7">
      <w:pPr>
        <w:tabs>
          <w:tab w:val="left" w:pos="4830"/>
        </w:tabs>
        <w:jc w:val="both"/>
        <w:rPr>
          <w:rFonts w:ascii="Arial" w:hAnsi="Arial" w:cs="Arial"/>
          <w:sz w:val="24"/>
          <w:szCs w:val="24"/>
        </w:rPr>
      </w:pPr>
    </w:p>
    <w:p w:rsidR="005D08E5" w:rsidRDefault="005D08E5" w:rsidP="00E63780">
      <w:pPr>
        <w:tabs>
          <w:tab w:val="left" w:pos="4830"/>
        </w:tabs>
        <w:ind w:firstLine="851"/>
        <w:jc w:val="both"/>
        <w:rPr>
          <w:rFonts w:ascii="Arial" w:hAnsi="Arial" w:cs="Arial"/>
          <w:sz w:val="24"/>
          <w:szCs w:val="24"/>
        </w:rPr>
      </w:pPr>
      <w:r>
        <w:rPr>
          <w:rFonts w:ascii="Arial" w:hAnsi="Arial" w:cs="Arial"/>
          <w:sz w:val="24"/>
          <w:szCs w:val="24"/>
        </w:rPr>
        <w:t>Até 1977, o regime legal dispositivo</w:t>
      </w:r>
      <w:r>
        <w:rPr>
          <w:rStyle w:val="Refdenotaderodap"/>
          <w:rFonts w:ascii="Arial" w:hAnsi="Arial" w:cs="Arial"/>
          <w:sz w:val="24"/>
          <w:szCs w:val="24"/>
        </w:rPr>
        <w:footnoteReference w:id="19"/>
      </w:r>
      <w:r>
        <w:rPr>
          <w:rFonts w:ascii="Arial" w:hAnsi="Arial" w:cs="Arial"/>
          <w:sz w:val="24"/>
          <w:szCs w:val="24"/>
        </w:rPr>
        <w:t xml:space="preserve"> era o da comunhão universal de bens. Vale dizer, em caso de silêncio dos nubentes a respeito de qual regime pretendiam optar, esse era o sistema patrimonial padrão</w:t>
      </w:r>
      <w:r w:rsidR="00F83F54">
        <w:rPr>
          <w:rFonts w:ascii="Arial" w:hAnsi="Arial" w:cs="Arial"/>
          <w:sz w:val="24"/>
          <w:szCs w:val="24"/>
        </w:rPr>
        <w:t>.</w:t>
      </w:r>
      <w:r>
        <w:rPr>
          <w:rFonts w:ascii="Arial" w:hAnsi="Arial" w:cs="Arial"/>
          <w:sz w:val="24"/>
          <w:szCs w:val="24"/>
        </w:rPr>
        <w:t xml:space="preserve"> </w:t>
      </w:r>
    </w:p>
    <w:p w:rsidR="00DB3013" w:rsidRDefault="00DB3013" w:rsidP="00E63780">
      <w:pPr>
        <w:tabs>
          <w:tab w:val="left" w:pos="4830"/>
        </w:tabs>
        <w:ind w:firstLine="851"/>
        <w:jc w:val="both"/>
        <w:rPr>
          <w:rFonts w:ascii="Arial" w:hAnsi="Arial" w:cs="Arial"/>
          <w:sz w:val="24"/>
          <w:szCs w:val="24"/>
        </w:rPr>
      </w:pPr>
      <w:r>
        <w:rPr>
          <w:rFonts w:ascii="Arial" w:hAnsi="Arial" w:cs="Arial"/>
          <w:sz w:val="24"/>
          <w:szCs w:val="24"/>
        </w:rPr>
        <w:t xml:space="preserve">Esse sistema, de origem germânica, foi introduzido no universo luso-brasileiro a partir das Ordenações </w:t>
      </w:r>
      <w:r w:rsidR="00D53FCE">
        <w:rPr>
          <w:rFonts w:ascii="Arial" w:hAnsi="Arial" w:cs="Arial"/>
          <w:sz w:val="24"/>
          <w:szCs w:val="24"/>
        </w:rPr>
        <w:t>Afonsinas, rompendo com a tradição romana, baseada na separação de bens</w:t>
      </w:r>
      <w:r w:rsidR="00D53FCE">
        <w:rPr>
          <w:rStyle w:val="Refdenotaderodap"/>
          <w:rFonts w:ascii="Arial" w:hAnsi="Arial" w:cs="Arial"/>
          <w:sz w:val="24"/>
          <w:szCs w:val="24"/>
        </w:rPr>
        <w:footnoteReference w:id="20"/>
      </w:r>
      <w:r w:rsidR="00D53FCE">
        <w:rPr>
          <w:rFonts w:ascii="Arial" w:hAnsi="Arial" w:cs="Arial"/>
          <w:sz w:val="24"/>
          <w:szCs w:val="24"/>
        </w:rPr>
        <w:t>.</w:t>
      </w:r>
    </w:p>
    <w:p w:rsidR="008357E5" w:rsidRPr="008357E5" w:rsidRDefault="005D08E5" w:rsidP="00E63780">
      <w:pPr>
        <w:tabs>
          <w:tab w:val="left" w:pos="4830"/>
        </w:tabs>
        <w:ind w:firstLine="851"/>
        <w:jc w:val="both"/>
        <w:rPr>
          <w:rFonts w:ascii="Arial" w:hAnsi="Arial" w:cs="Arial"/>
          <w:sz w:val="24"/>
          <w:szCs w:val="24"/>
        </w:rPr>
      </w:pPr>
      <w:r>
        <w:rPr>
          <w:rFonts w:ascii="Arial" w:hAnsi="Arial" w:cs="Arial"/>
          <w:sz w:val="24"/>
          <w:szCs w:val="24"/>
        </w:rPr>
        <w:t>A comunhão universal de bens, ancorada nos artigos 1.667 a 1.671, do Código Civil, configura-se, de modo geral, pela comunhão</w:t>
      </w:r>
      <w:r w:rsidR="00953D1E">
        <w:rPr>
          <w:rFonts w:ascii="Arial" w:hAnsi="Arial" w:cs="Arial"/>
          <w:sz w:val="24"/>
          <w:szCs w:val="24"/>
        </w:rPr>
        <w:t xml:space="preserve"> total</w:t>
      </w:r>
      <w:r>
        <w:rPr>
          <w:rFonts w:ascii="Arial" w:hAnsi="Arial" w:cs="Arial"/>
          <w:sz w:val="24"/>
          <w:szCs w:val="24"/>
        </w:rPr>
        <w:t xml:space="preserve"> dos bens adquiridos </w:t>
      </w:r>
      <w:r w:rsidR="004272D3">
        <w:rPr>
          <w:rFonts w:ascii="Arial" w:hAnsi="Arial" w:cs="Arial"/>
          <w:sz w:val="24"/>
          <w:szCs w:val="24"/>
        </w:rPr>
        <w:t>pregressa e posteriormente ao casamento</w:t>
      </w:r>
      <w:r>
        <w:rPr>
          <w:rFonts w:ascii="Arial" w:hAnsi="Arial" w:cs="Arial"/>
          <w:sz w:val="24"/>
          <w:szCs w:val="24"/>
        </w:rPr>
        <w:t>. Tal</w:t>
      </w:r>
      <w:r w:rsidR="00993128">
        <w:rPr>
          <w:rFonts w:ascii="Arial" w:hAnsi="Arial" w:cs="Arial"/>
          <w:sz w:val="24"/>
          <w:szCs w:val="24"/>
        </w:rPr>
        <w:t xml:space="preserve"> comunicação, contudo, não é absoluta</w:t>
      </w:r>
      <w:r w:rsidR="00EE075C">
        <w:rPr>
          <w:rStyle w:val="Refdenotaderodap"/>
          <w:rFonts w:ascii="Arial" w:hAnsi="Arial" w:cs="Arial"/>
          <w:sz w:val="24"/>
          <w:szCs w:val="24"/>
        </w:rPr>
        <w:footnoteReference w:id="21"/>
      </w:r>
      <w:r w:rsidR="00EE075C">
        <w:rPr>
          <w:rFonts w:ascii="Arial" w:hAnsi="Arial" w:cs="Arial"/>
          <w:sz w:val="24"/>
          <w:szCs w:val="24"/>
        </w:rPr>
        <w:t xml:space="preserve"> como a denominação faz crer</w:t>
      </w:r>
      <w:r w:rsidR="00D535E5">
        <w:rPr>
          <w:rFonts w:ascii="Arial" w:hAnsi="Arial" w:cs="Arial"/>
          <w:sz w:val="24"/>
          <w:szCs w:val="24"/>
        </w:rPr>
        <w:t>. Nesse sentido, dívidas</w:t>
      </w:r>
      <w:r w:rsidR="00993128">
        <w:rPr>
          <w:rFonts w:ascii="Arial" w:hAnsi="Arial" w:cs="Arial"/>
          <w:sz w:val="24"/>
          <w:szCs w:val="24"/>
        </w:rPr>
        <w:t xml:space="preserve"> anteriores ao casamento</w:t>
      </w:r>
      <w:r w:rsidR="00D535E5">
        <w:rPr>
          <w:rFonts w:ascii="Arial" w:hAnsi="Arial" w:cs="Arial"/>
          <w:sz w:val="24"/>
          <w:szCs w:val="24"/>
        </w:rPr>
        <w:t>, em regra,</w:t>
      </w:r>
      <w:r w:rsidR="00993128">
        <w:rPr>
          <w:rFonts w:ascii="Arial" w:hAnsi="Arial" w:cs="Arial"/>
          <w:sz w:val="24"/>
          <w:szCs w:val="24"/>
        </w:rPr>
        <w:t xml:space="preserve"> permanecem</w:t>
      </w:r>
      <w:r w:rsidR="00D535E5">
        <w:rPr>
          <w:rFonts w:ascii="Arial" w:hAnsi="Arial" w:cs="Arial"/>
          <w:sz w:val="24"/>
          <w:szCs w:val="24"/>
        </w:rPr>
        <w:t xml:space="preserve"> compondo os</w:t>
      </w:r>
      <w:r w:rsidR="00993128">
        <w:rPr>
          <w:rFonts w:ascii="Arial" w:hAnsi="Arial" w:cs="Arial"/>
          <w:sz w:val="24"/>
          <w:szCs w:val="24"/>
        </w:rPr>
        <w:t xml:space="preserve"> bens particulares do cônjuge </w:t>
      </w:r>
      <w:r w:rsidR="00953D1E">
        <w:rPr>
          <w:rFonts w:ascii="Arial" w:hAnsi="Arial" w:cs="Arial"/>
          <w:sz w:val="24"/>
          <w:szCs w:val="24"/>
        </w:rPr>
        <w:t>que os contraiu, salvo se forem relacionadas ao matrimônio ou revertidas em proveito comum, co</w:t>
      </w:r>
      <w:r w:rsidR="00054A78">
        <w:rPr>
          <w:rFonts w:ascii="Arial" w:hAnsi="Arial" w:cs="Arial"/>
          <w:sz w:val="24"/>
          <w:szCs w:val="24"/>
        </w:rPr>
        <w:t xml:space="preserve">mo a compra de imóvel do casal e </w:t>
      </w:r>
      <w:r w:rsidR="00953D1E">
        <w:rPr>
          <w:rFonts w:ascii="Arial" w:hAnsi="Arial" w:cs="Arial"/>
          <w:sz w:val="24"/>
          <w:szCs w:val="24"/>
        </w:rPr>
        <w:t>despesas com a festa de casamento</w:t>
      </w:r>
      <w:r w:rsidR="00953D1E">
        <w:rPr>
          <w:rStyle w:val="Refdenotaderodap"/>
          <w:rFonts w:ascii="Arial" w:hAnsi="Arial" w:cs="Arial"/>
          <w:sz w:val="24"/>
          <w:szCs w:val="24"/>
        </w:rPr>
        <w:footnoteReference w:id="22"/>
      </w:r>
      <w:r w:rsidR="00953D1E">
        <w:rPr>
          <w:rFonts w:ascii="Arial" w:hAnsi="Arial" w:cs="Arial"/>
          <w:sz w:val="24"/>
          <w:szCs w:val="24"/>
        </w:rPr>
        <w:t xml:space="preserve">. </w:t>
      </w:r>
    </w:p>
    <w:p w:rsidR="00993128" w:rsidRDefault="00D535E5" w:rsidP="00E63780">
      <w:pPr>
        <w:tabs>
          <w:tab w:val="left" w:pos="4830"/>
        </w:tabs>
        <w:ind w:firstLine="851"/>
        <w:jc w:val="both"/>
        <w:rPr>
          <w:rFonts w:ascii="Arial" w:hAnsi="Arial" w:cs="Arial"/>
          <w:sz w:val="24"/>
          <w:szCs w:val="24"/>
        </w:rPr>
      </w:pPr>
      <w:r>
        <w:rPr>
          <w:rFonts w:ascii="Arial" w:hAnsi="Arial" w:cs="Arial"/>
          <w:sz w:val="24"/>
          <w:szCs w:val="24"/>
        </w:rPr>
        <w:t>Além disso, i</w:t>
      </w:r>
      <w:r w:rsidR="00993128">
        <w:rPr>
          <w:rFonts w:ascii="Arial" w:hAnsi="Arial" w:cs="Arial"/>
          <w:sz w:val="24"/>
          <w:szCs w:val="24"/>
        </w:rPr>
        <w:t>nstrumentos de profissão, livros e</w:t>
      </w:r>
      <w:r w:rsidR="008F43CD">
        <w:rPr>
          <w:rFonts w:ascii="Arial" w:hAnsi="Arial" w:cs="Arial"/>
          <w:sz w:val="24"/>
          <w:szCs w:val="24"/>
        </w:rPr>
        <w:t xml:space="preserve"> rendimentos de trabalho (aqui em um sentido amplo, referente a qualquer contraprestação </w:t>
      </w:r>
      <w:r w:rsidR="00113E0A">
        <w:rPr>
          <w:rFonts w:ascii="Arial" w:hAnsi="Arial" w:cs="Arial"/>
          <w:sz w:val="24"/>
          <w:szCs w:val="24"/>
        </w:rPr>
        <w:t>da</w:t>
      </w:r>
      <w:r w:rsidR="008F43CD">
        <w:rPr>
          <w:rFonts w:ascii="Arial" w:hAnsi="Arial" w:cs="Arial"/>
          <w:sz w:val="24"/>
          <w:szCs w:val="24"/>
        </w:rPr>
        <w:t xml:space="preserve"> atividade desenvolvida pelo cônjuge)</w:t>
      </w:r>
      <w:r>
        <w:rPr>
          <w:rFonts w:ascii="Arial" w:hAnsi="Arial" w:cs="Arial"/>
          <w:sz w:val="24"/>
          <w:szCs w:val="24"/>
        </w:rPr>
        <w:t xml:space="preserve"> também englobam seu</w:t>
      </w:r>
      <w:r w:rsidR="007563F0">
        <w:rPr>
          <w:rFonts w:ascii="Arial" w:hAnsi="Arial" w:cs="Arial"/>
          <w:sz w:val="24"/>
          <w:szCs w:val="24"/>
        </w:rPr>
        <w:t xml:space="preserve"> acerv</w:t>
      </w:r>
      <w:r>
        <w:rPr>
          <w:rFonts w:ascii="Arial" w:hAnsi="Arial" w:cs="Arial"/>
          <w:sz w:val="24"/>
          <w:szCs w:val="24"/>
        </w:rPr>
        <w:t>o particular</w:t>
      </w:r>
      <w:r w:rsidR="00C77C56">
        <w:rPr>
          <w:rStyle w:val="Refdenotaderodap"/>
          <w:rFonts w:ascii="Arial" w:hAnsi="Arial" w:cs="Arial"/>
          <w:sz w:val="24"/>
          <w:szCs w:val="24"/>
        </w:rPr>
        <w:footnoteReference w:id="23"/>
      </w:r>
      <w:r w:rsidR="007563F0">
        <w:rPr>
          <w:rFonts w:ascii="Arial" w:hAnsi="Arial" w:cs="Arial"/>
          <w:sz w:val="24"/>
          <w:szCs w:val="24"/>
        </w:rPr>
        <w:t>.</w:t>
      </w:r>
    </w:p>
    <w:p w:rsidR="00C1557F" w:rsidRDefault="00C1557F" w:rsidP="008D69C1">
      <w:pPr>
        <w:tabs>
          <w:tab w:val="left" w:pos="4830"/>
        </w:tabs>
        <w:ind w:firstLine="709"/>
        <w:jc w:val="both"/>
        <w:rPr>
          <w:rFonts w:ascii="Arial" w:hAnsi="Arial" w:cs="Arial"/>
          <w:sz w:val="24"/>
          <w:szCs w:val="24"/>
        </w:rPr>
      </w:pPr>
    </w:p>
    <w:p w:rsidR="00401769" w:rsidRDefault="00401769" w:rsidP="00B559C6">
      <w:pPr>
        <w:tabs>
          <w:tab w:val="left" w:pos="4830"/>
        </w:tabs>
        <w:jc w:val="both"/>
        <w:rPr>
          <w:rFonts w:ascii="Arial" w:hAnsi="Arial" w:cs="Arial"/>
          <w:sz w:val="24"/>
          <w:szCs w:val="24"/>
        </w:rPr>
      </w:pPr>
      <w:r>
        <w:rPr>
          <w:rFonts w:ascii="Arial" w:hAnsi="Arial" w:cs="Arial"/>
          <w:sz w:val="24"/>
          <w:szCs w:val="24"/>
        </w:rPr>
        <w:t xml:space="preserve">2.3. COMUNHÃO PARCIAL DE BENS </w:t>
      </w:r>
    </w:p>
    <w:p w:rsidR="008357E5" w:rsidRDefault="008357E5" w:rsidP="00A5342D">
      <w:pPr>
        <w:tabs>
          <w:tab w:val="left" w:pos="4830"/>
        </w:tabs>
        <w:ind w:firstLine="709"/>
        <w:jc w:val="both"/>
        <w:rPr>
          <w:rFonts w:ascii="Arial" w:hAnsi="Arial" w:cs="Arial"/>
          <w:sz w:val="24"/>
          <w:szCs w:val="24"/>
        </w:rPr>
      </w:pPr>
    </w:p>
    <w:p w:rsidR="00401769" w:rsidRDefault="00F83F54" w:rsidP="00E63780">
      <w:pPr>
        <w:tabs>
          <w:tab w:val="left" w:pos="4830"/>
        </w:tabs>
        <w:ind w:firstLine="851"/>
        <w:jc w:val="both"/>
        <w:rPr>
          <w:rFonts w:ascii="Arial" w:hAnsi="Arial" w:cs="Arial"/>
          <w:sz w:val="24"/>
          <w:szCs w:val="24"/>
        </w:rPr>
      </w:pPr>
      <w:r>
        <w:rPr>
          <w:rFonts w:ascii="Arial" w:hAnsi="Arial" w:cs="Arial"/>
          <w:sz w:val="24"/>
          <w:szCs w:val="24"/>
        </w:rPr>
        <w:t>Com o advento da Lei do Divórcio, a</w:t>
      </w:r>
      <w:r w:rsidR="00B17597">
        <w:rPr>
          <w:rFonts w:ascii="Arial" w:hAnsi="Arial" w:cs="Arial"/>
          <w:sz w:val="24"/>
          <w:szCs w:val="24"/>
        </w:rPr>
        <w:t xml:space="preserve"> comunhão parcial de bens</w:t>
      </w:r>
      <w:r>
        <w:rPr>
          <w:rFonts w:ascii="Arial" w:hAnsi="Arial" w:cs="Arial"/>
          <w:sz w:val="24"/>
          <w:szCs w:val="24"/>
        </w:rPr>
        <w:t xml:space="preserve"> </w:t>
      </w:r>
      <w:r w:rsidR="00A7558D">
        <w:rPr>
          <w:rFonts w:ascii="Arial" w:hAnsi="Arial" w:cs="Arial"/>
          <w:sz w:val="24"/>
          <w:szCs w:val="24"/>
        </w:rPr>
        <w:t xml:space="preserve">passou a ser o </w:t>
      </w:r>
      <w:r w:rsidR="00B17597">
        <w:rPr>
          <w:rFonts w:ascii="Arial" w:hAnsi="Arial" w:cs="Arial"/>
          <w:sz w:val="24"/>
          <w:szCs w:val="24"/>
        </w:rPr>
        <w:t xml:space="preserve">regime legal dispositivo, </w:t>
      </w:r>
      <w:r>
        <w:rPr>
          <w:rFonts w:ascii="Arial" w:hAnsi="Arial" w:cs="Arial"/>
          <w:sz w:val="24"/>
          <w:szCs w:val="24"/>
        </w:rPr>
        <w:t>ou seja</w:t>
      </w:r>
      <w:r w:rsidR="00B17597">
        <w:rPr>
          <w:rFonts w:ascii="Arial" w:hAnsi="Arial" w:cs="Arial"/>
          <w:sz w:val="24"/>
          <w:szCs w:val="24"/>
        </w:rPr>
        <w:t xml:space="preserve">, o regime </w:t>
      </w:r>
      <w:r w:rsidR="001C4E4F">
        <w:rPr>
          <w:rFonts w:ascii="Arial" w:hAnsi="Arial" w:cs="Arial"/>
          <w:sz w:val="24"/>
          <w:szCs w:val="24"/>
        </w:rPr>
        <w:t>supletório</w:t>
      </w:r>
      <w:r w:rsidR="00B17597">
        <w:rPr>
          <w:rFonts w:ascii="Arial" w:hAnsi="Arial" w:cs="Arial"/>
          <w:sz w:val="24"/>
          <w:szCs w:val="24"/>
        </w:rPr>
        <w:t xml:space="preserve"> invocado no caso de silêncio </w:t>
      </w:r>
      <w:r w:rsidR="00B17597">
        <w:rPr>
          <w:rFonts w:ascii="Arial" w:hAnsi="Arial" w:cs="Arial"/>
          <w:sz w:val="24"/>
          <w:szCs w:val="24"/>
        </w:rPr>
        <w:lastRenderedPageBreak/>
        <w:t>dos nubentes</w:t>
      </w:r>
      <w:r w:rsidR="000848BC">
        <w:rPr>
          <w:rFonts w:ascii="Arial" w:hAnsi="Arial" w:cs="Arial"/>
          <w:sz w:val="24"/>
          <w:szCs w:val="24"/>
        </w:rPr>
        <w:t xml:space="preserve"> (uma vez que</w:t>
      </w:r>
      <w:r>
        <w:rPr>
          <w:rFonts w:ascii="Arial" w:hAnsi="Arial" w:cs="Arial"/>
          <w:sz w:val="24"/>
          <w:szCs w:val="24"/>
        </w:rPr>
        <w:t>,</w:t>
      </w:r>
      <w:r w:rsidR="000848BC">
        <w:rPr>
          <w:rFonts w:ascii="Arial" w:hAnsi="Arial" w:cs="Arial"/>
          <w:sz w:val="24"/>
          <w:szCs w:val="24"/>
        </w:rPr>
        <w:t xml:space="preserve"> no direito brasileiro</w:t>
      </w:r>
      <w:r>
        <w:rPr>
          <w:rFonts w:ascii="Arial" w:hAnsi="Arial" w:cs="Arial"/>
          <w:sz w:val="24"/>
          <w:szCs w:val="24"/>
        </w:rPr>
        <w:t>,</w:t>
      </w:r>
      <w:r w:rsidR="000848BC">
        <w:rPr>
          <w:rFonts w:ascii="Arial" w:hAnsi="Arial" w:cs="Arial"/>
          <w:sz w:val="24"/>
          <w:szCs w:val="24"/>
        </w:rPr>
        <w:t xml:space="preserve"> </w:t>
      </w:r>
      <w:r w:rsidR="00E439D5">
        <w:rPr>
          <w:rFonts w:ascii="Arial" w:hAnsi="Arial" w:cs="Arial"/>
          <w:sz w:val="24"/>
          <w:szCs w:val="24"/>
        </w:rPr>
        <w:t xml:space="preserve">repise-se, </w:t>
      </w:r>
      <w:r w:rsidR="000848BC">
        <w:rPr>
          <w:rFonts w:ascii="Arial" w:hAnsi="Arial" w:cs="Arial"/>
          <w:sz w:val="24"/>
          <w:szCs w:val="24"/>
        </w:rPr>
        <w:t>vigora a liberdade de estruturação do regime de bens)</w:t>
      </w:r>
      <w:r w:rsidR="005E11F4">
        <w:rPr>
          <w:rFonts w:ascii="Arial" w:hAnsi="Arial" w:cs="Arial"/>
          <w:sz w:val="24"/>
          <w:szCs w:val="24"/>
        </w:rPr>
        <w:t xml:space="preserve">. </w:t>
      </w:r>
    </w:p>
    <w:p w:rsidR="0095511D" w:rsidRDefault="00B17597" w:rsidP="00E63780">
      <w:pPr>
        <w:tabs>
          <w:tab w:val="left" w:pos="4830"/>
        </w:tabs>
        <w:ind w:firstLine="851"/>
        <w:jc w:val="both"/>
        <w:rPr>
          <w:rFonts w:ascii="Arial" w:hAnsi="Arial" w:cs="Arial"/>
          <w:sz w:val="24"/>
          <w:szCs w:val="24"/>
        </w:rPr>
      </w:pPr>
      <w:r>
        <w:rPr>
          <w:rFonts w:ascii="Arial" w:hAnsi="Arial" w:cs="Arial"/>
          <w:sz w:val="24"/>
          <w:szCs w:val="24"/>
        </w:rPr>
        <w:t xml:space="preserve">Nessa espécie de regime, há o amálgama </w:t>
      </w:r>
      <w:r w:rsidR="0095511D">
        <w:rPr>
          <w:rFonts w:ascii="Arial" w:hAnsi="Arial" w:cs="Arial"/>
          <w:sz w:val="24"/>
          <w:szCs w:val="24"/>
        </w:rPr>
        <w:t>entre duas vidas patrimoniais particulares que desabrocham uma terceira, comum aos cônjuges. Desse modo, os bens adquiridos pelos nubentes até o dia da celebração do casamento serão considerados particulares, ao passo que os bens adquiridos ap</w:t>
      </w:r>
      <w:r w:rsidR="000C0DFF">
        <w:rPr>
          <w:rFonts w:ascii="Arial" w:hAnsi="Arial" w:cs="Arial"/>
          <w:sz w:val="24"/>
          <w:szCs w:val="24"/>
        </w:rPr>
        <w:t>ós essa data serão</w:t>
      </w:r>
      <w:r w:rsidR="001C4E4F">
        <w:rPr>
          <w:rFonts w:ascii="Arial" w:hAnsi="Arial" w:cs="Arial"/>
          <w:sz w:val="24"/>
          <w:szCs w:val="24"/>
        </w:rPr>
        <w:t xml:space="preserve"> </w:t>
      </w:r>
      <w:r w:rsidR="000C0DFF">
        <w:rPr>
          <w:rFonts w:ascii="Arial" w:hAnsi="Arial" w:cs="Arial"/>
          <w:sz w:val="24"/>
          <w:szCs w:val="24"/>
        </w:rPr>
        <w:t>comunicáveis</w:t>
      </w:r>
      <w:r w:rsidR="004F34CD">
        <w:rPr>
          <w:rFonts w:ascii="Arial" w:hAnsi="Arial" w:cs="Arial"/>
          <w:sz w:val="24"/>
          <w:szCs w:val="24"/>
        </w:rPr>
        <w:t>, salvo aqueles q</w:t>
      </w:r>
      <w:r w:rsidR="001C4E4F">
        <w:rPr>
          <w:rFonts w:ascii="Arial" w:hAnsi="Arial" w:cs="Arial"/>
          <w:sz w:val="24"/>
          <w:szCs w:val="24"/>
        </w:rPr>
        <w:t xml:space="preserve">ue a lei expressamente proíbe no </w:t>
      </w:r>
      <w:r w:rsidR="004F34CD">
        <w:rPr>
          <w:rFonts w:ascii="Arial" w:hAnsi="Arial" w:cs="Arial"/>
          <w:sz w:val="24"/>
          <w:szCs w:val="24"/>
        </w:rPr>
        <w:t>artigo 1.659, do Código Civil</w:t>
      </w:r>
      <w:r w:rsidR="004F34CD">
        <w:rPr>
          <w:rStyle w:val="Refdenotaderodap"/>
          <w:rFonts w:ascii="Arial" w:hAnsi="Arial" w:cs="Arial"/>
          <w:sz w:val="24"/>
          <w:szCs w:val="24"/>
        </w:rPr>
        <w:footnoteReference w:id="24"/>
      </w:r>
      <w:r w:rsidR="000C0DFF">
        <w:rPr>
          <w:rFonts w:ascii="Arial" w:hAnsi="Arial" w:cs="Arial"/>
          <w:sz w:val="24"/>
          <w:szCs w:val="24"/>
        </w:rPr>
        <w:t>.</w:t>
      </w:r>
    </w:p>
    <w:p w:rsidR="003E31D3" w:rsidRDefault="00187969" w:rsidP="00E63780">
      <w:pPr>
        <w:tabs>
          <w:tab w:val="left" w:pos="4830"/>
        </w:tabs>
        <w:ind w:firstLine="851"/>
        <w:jc w:val="both"/>
        <w:rPr>
          <w:rFonts w:ascii="Arial" w:hAnsi="Arial" w:cs="Arial"/>
          <w:sz w:val="24"/>
          <w:szCs w:val="24"/>
        </w:rPr>
      </w:pPr>
      <w:r>
        <w:rPr>
          <w:rFonts w:ascii="Arial" w:hAnsi="Arial" w:cs="Arial"/>
          <w:sz w:val="24"/>
          <w:szCs w:val="24"/>
        </w:rPr>
        <w:t>De modo geral</w:t>
      </w:r>
      <w:r w:rsidR="00493078">
        <w:rPr>
          <w:rFonts w:ascii="Arial" w:hAnsi="Arial" w:cs="Arial"/>
          <w:sz w:val="24"/>
          <w:szCs w:val="24"/>
        </w:rPr>
        <w:t>, portanto, os bens móveis ou imóveis,</w:t>
      </w:r>
      <w:r w:rsidR="00257AE4">
        <w:rPr>
          <w:rFonts w:ascii="Arial" w:hAnsi="Arial" w:cs="Arial"/>
          <w:sz w:val="24"/>
          <w:szCs w:val="24"/>
        </w:rPr>
        <w:t xml:space="preserve"> adquiridos após a celebração do casamento e</w:t>
      </w:r>
      <w:r w:rsidR="00493078">
        <w:rPr>
          <w:rFonts w:ascii="Arial" w:hAnsi="Arial" w:cs="Arial"/>
          <w:sz w:val="24"/>
          <w:szCs w:val="24"/>
        </w:rPr>
        <w:t xml:space="preserve"> frutos do desembolso de p</w:t>
      </w:r>
      <w:r w:rsidR="00257AE4">
        <w:rPr>
          <w:rFonts w:ascii="Arial" w:hAnsi="Arial" w:cs="Arial"/>
          <w:sz w:val="24"/>
          <w:szCs w:val="24"/>
        </w:rPr>
        <w:t xml:space="preserve">ecúnia de um dos cônjuges, serão comuns </w:t>
      </w:r>
      <w:r w:rsidR="00493078">
        <w:rPr>
          <w:rFonts w:ascii="Arial" w:hAnsi="Arial" w:cs="Arial"/>
          <w:sz w:val="24"/>
          <w:szCs w:val="24"/>
        </w:rPr>
        <w:t>a eles</w:t>
      </w:r>
      <w:r w:rsidR="00BB4983">
        <w:rPr>
          <w:rFonts w:ascii="Arial" w:hAnsi="Arial" w:cs="Arial"/>
          <w:sz w:val="24"/>
          <w:szCs w:val="24"/>
        </w:rPr>
        <w:t>,</w:t>
      </w:r>
      <w:r w:rsidR="00493078">
        <w:rPr>
          <w:rFonts w:ascii="Arial" w:hAnsi="Arial" w:cs="Arial"/>
          <w:sz w:val="24"/>
          <w:szCs w:val="24"/>
        </w:rPr>
        <w:t xml:space="preserve"> </w:t>
      </w:r>
      <w:r w:rsidR="00BB4983">
        <w:rPr>
          <w:rFonts w:ascii="Arial" w:hAnsi="Arial" w:cs="Arial"/>
          <w:sz w:val="24"/>
          <w:szCs w:val="24"/>
        </w:rPr>
        <w:t>havendo</w:t>
      </w:r>
      <w:r w:rsidR="00493078">
        <w:rPr>
          <w:rFonts w:ascii="Arial" w:hAnsi="Arial" w:cs="Arial"/>
          <w:sz w:val="24"/>
          <w:szCs w:val="24"/>
        </w:rPr>
        <w:t xml:space="preserve"> </w:t>
      </w:r>
      <w:r w:rsidR="008D20F9">
        <w:rPr>
          <w:rFonts w:ascii="Arial" w:hAnsi="Arial" w:cs="Arial"/>
          <w:sz w:val="24"/>
          <w:szCs w:val="24"/>
        </w:rPr>
        <w:t>exceções</w:t>
      </w:r>
      <w:r w:rsidR="00493078">
        <w:rPr>
          <w:rFonts w:ascii="Arial" w:hAnsi="Arial" w:cs="Arial"/>
          <w:sz w:val="24"/>
          <w:szCs w:val="24"/>
        </w:rPr>
        <w:t xml:space="preserve"> </w:t>
      </w:r>
      <w:r w:rsidR="008D214D">
        <w:rPr>
          <w:rFonts w:ascii="Arial" w:hAnsi="Arial" w:cs="Arial"/>
          <w:sz w:val="24"/>
          <w:szCs w:val="24"/>
        </w:rPr>
        <w:t>como</w:t>
      </w:r>
      <w:r w:rsidR="008D20F9">
        <w:rPr>
          <w:rFonts w:ascii="Arial" w:hAnsi="Arial" w:cs="Arial"/>
          <w:sz w:val="24"/>
          <w:szCs w:val="24"/>
        </w:rPr>
        <w:t xml:space="preserve"> </w:t>
      </w:r>
      <w:r w:rsidR="008F43CD">
        <w:rPr>
          <w:rFonts w:ascii="Arial" w:hAnsi="Arial" w:cs="Arial"/>
          <w:sz w:val="24"/>
          <w:szCs w:val="24"/>
        </w:rPr>
        <w:t>liberalidades</w:t>
      </w:r>
      <w:r w:rsidR="00257AE4">
        <w:rPr>
          <w:rFonts w:ascii="Arial" w:hAnsi="Arial" w:cs="Arial"/>
          <w:sz w:val="24"/>
          <w:szCs w:val="24"/>
        </w:rPr>
        <w:t xml:space="preserve">, bens </w:t>
      </w:r>
      <w:r w:rsidR="008D20F9">
        <w:rPr>
          <w:rFonts w:ascii="Arial" w:hAnsi="Arial" w:cs="Arial"/>
          <w:sz w:val="24"/>
          <w:szCs w:val="24"/>
        </w:rPr>
        <w:t xml:space="preserve">pessoais </w:t>
      </w:r>
      <w:r w:rsidR="008D20F9">
        <w:rPr>
          <w:rFonts w:ascii="Arial" w:hAnsi="Arial" w:cs="Arial"/>
          <w:i/>
          <w:sz w:val="24"/>
          <w:szCs w:val="24"/>
        </w:rPr>
        <w:t>pro labore</w:t>
      </w:r>
      <w:r w:rsidR="008D20F9">
        <w:rPr>
          <w:rFonts w:ascii="Arial" w:hAnsi="Arial" w:cs="Arial"/>
          <w:sz w:val="24"/>
          <w:szCs w:val="24"/>
        </w:rPr>
        <w:t>, livros e proventos</w:t>
      </w:r>
      <w:r w:rsidR="002F3AB1">
        <w:rPr>
          <w:rStyle w:val="Refdenotaderodap"/>
          <w:rFonts w:ascii="Arial" w:hAnsi="Arial" w:cs="Arial"/>
          <w:sz w:val="24"/>
          <w:szCs w:val="24"/>
        </w:rPr>
        <w:footnoteReference w:id="25"/>
      </w:r>
      <w:r w:rsidR="002F3AB1">
        <w:rPr>
          <w:rFonts w:ascii="Arial" w:hAnsi="Arial" w:cs="Arial"/>
          <w:sz w:val="24"/>
          <w:szCs w:val="24"/>
        </w:rPr>
        <w:t xml:space="preserve">. </w:t>
      </w:r>
    </w:p>
    <w:p w:rsidR="00BC6836" w:rsidRPr="00620035" w:rsidRDefault="00FD6F57" w:rsidP="00E63780">
      <w:pPr>
        <w:tabs>
          <w:tab w:val="left" w:pos="4830"/>
        </w:tabs>
        <w:ind w:firstLine="851"/>
        <w:jc w:val="both"/>
        <w:rPr>
          <w:rFonts w:ascii="Arial" w:hAnsi="Arial" w:cs="Arial"/>
          <w:sz w:val="24"/>
          <w:szCs w:val="24"/>
        </w:rPr>
      </w:pPr>
      <w:r>
        <w:rPr>
          <w:rFonts w:ascii="Arial" w:hAnsi="Arial" w:cs="Arial"/>
          <w:sz w:val="24"/>
          <w:szCs w:val="24"/>
        </w:rPr>
        <w:t>Nesse sentido, Flávio Tartuce pontua que</w:t>
      </w:r>
      <w:r w:rsidR="00257AE4">
        <w:rPr>
          <w:rFonts w:ascii="Arial" w:hAnsi="Arial" w:cs="Arial"/>
          <w:sz w:val="24"/>
          <w:szCs w:val="24"/>
        </w:rPr>
        <w:t xml:space="preserve"> </w:t>
      </w:r>
      <w:r w:rsidR="00257AE4" w:rsidRPr="00620035">
        <w:rPr>
          <w:rFonts w:ascii="Arial" w:hAnsi="Arial" w:cs="Arial"/>
          <w:sz w:val="24"/>
          <w:szCs w:val="24"/>
        </w:rPr>
        <w:t xml:space="preserve">“as dívidas </w:t>
      </w:r>
      <w:r w:rsidR="00257AE4" w:rsidRPr="00620035">
        <w:rPr>
          <w:rFonts w:ascii="Arial" w:eastAsia="TimesNewRomanPSMT" w:hAnsi="Arial" w:cs="Arial"/>
          <w:sz w:val="24"/>
          <w:szCs w:val="24"/>
        </w:rPr>
        <w:t>contraídas por qualquer dos cônjuges na administração de seus bens particulares e em benefício destes não obrigam os bens comuns”.</w:t>
      </w:r>
      <w:r w:rsidR="00257AE4" w:rsidRPr="00620035">
        <w:rPr>
          <w:rStyle w:val="Refdenotaderodap"/>
          <w:rFonts w:ascii="Arial" w:eastAsia="TimesNewRomanPSMT" w:hAnsi="Arial" w:cs="Arial"/>
          <w:sz w:val="24"/>
          <w:szCs w:val="24"/>
        </w:rPr>
        <w:footnoteReference w:id="26"/>
      </w:r>
    </w:p>
    <w:p w:rsidR="003E31D3" w:rsidRDefault="003E31D3" w:rsidP="00E63780">
      <w:pPr>
        <w:tabs>
          <w:tab w:val="left" w:pos="4830"/>
        </w:tabs>
        <w:ind w:firstLine="851"/>
        <w:jc w:val="both"/>
        <w:rPr>
          <w:rFonts w:ascii="TimesNewRomanPSMT" w:eastAsia="TimesNewRomanPSMT" w:cs="TimesNewRomanPSMT"/>
          <w:color w:val="000000"/>
          <w:sz w:val="30"/>
          <w:szCs w:val="30"/>
        </w:rPr>
      </w:pPr>
      <w:r>
        <w:rPr>
          <w:rFonts w:ascii="Arial" w:hAnsi="Arial" w:cs="Arial"/>
          <w:sz w:val="24"/>
          <w:szCs w:val="24"/>
        </w:rPr>
        <w:t xml:space="preserve">Vale ressaltar, ainda, que o artigo 1.661, do Código Civil, prevê a incomunicabilidade dos bens cuja aquisição se fundar em causa anterior ao casamento, a exemplo de um cônjuge que, à época de solteiro, vende um imóvel, vindo a receber o valor correspondente apenas depois do matrimônio. Referida quantia não </w:t>
      </w:r>
      <w:r w:rsidR="005449EA">
        <w:rPr>
          <w:rFonts w:ascii="Arial" w:hAnsi="Arial" w:cs="Arial"/>
          <w:sz w:val="24"/>
          <w:szCs w:val="24"/>
        </w:rPr>
        <w:t>será comum aos cônjuges, uma vez que se radicou em pretexto anterior ao casamento</w:t>
      </w:r>
      <w:r w:rsidR="0094245D">
        <w:rPr>
          <w:rStyle w:val="Refdenotaderodap"/>
          <w:rFonts w:ascii="Arial" w:hAnsi="Arial" w:cs="Arial"/>
          <w:sz w:val="24"/>
          <w:szCs w:val="24"/>
        </w:rPr>
        <w:footnoteReference w:id="27"/>
      </w:r>
      <w:r w:rsidR="005449EA">
        <w:rPr>
          <w:rFonts w:ascii="Arial" w:hAnsi="Arial" w:cs="Arial"/>
          <w:sz w:val="24"/>
          <w:szCs w:val="24"/>
        </w:rPr>
        <w:t xml:space="preserve">. </w:t>
      </w:r>
    </w:p>
    <w:p w:rsidR="0043376A" w:rsidRDefault="0043376A" w:rsidP="00A5342D">
      <w:pPr>
        <w:tabs>
          <w:tab w:val="left" w:pos="4830"/>
        </w:tabs>
        <w:ind w:firstLine="709"/>
        <w:jc w:val="both"/>
        <w:rPr>
          <w:rFonts w:ascii="Arial" w:hAnsi="Arial" w:cs="Arial"/>
          <w:sz w:val="24"/>
          <w:szCs w:val="24"/>
        </w:rPr>
      </w:pPr>
    </w:p>
    <w:p w:rsidR="00401769" w:rsidRDefault="00401769" w:rsidP="002E4E5D">
      <w:pPr>
        <w:tabs>
          <w:tab w:val="left" w:pos="4830"/>
        </w:tabs>
        <w:jc w:val="both"/>
        <w:rPr>
          <w:rFonts w:ascii="Arial" w:hAnsi="Arial" w:cs="Arial"/>
          <w:sz w:val="24"/>
          <w:szCs w:val="24"/>
        </w:rPr>
      </w:pPr>
      <w:r>
        <w:rPr>
          <w:rFonts w:ascii="Arial" w:hAnsi="Arial" w:cs="Arial"/>
          <w:sz w:val="24"/>
          <w:szCs w:val="24"/>
        </w:rPr>
        <w:t>2.</w:t>
      </w:r>
      <w:r w:rsidR="00795514">
        <w:rPr>
          <w:rFonts w:ascii="Arial" w:hAnsi="Arial" w:cs="Arial"/>
          <w:sz w:val="24"/>
          <w:szCs w:val="24"/>
        </w:rPr>
        <w:t>4</w:t>
      </w:r>
      <w:r>
        <w:rPr>
          <w:rFonts w:ascii="Arial" w:hAnsi="Arial" w:cs="Arial"/>
          <w:sz w:val="24"/>
          <w:szCs w:val="24"/>
        </w:rPr>
        <w:t xml:space="preserve">. SEPARAÇÃO DE BENS </w:t>
      </w:r>
    </w:p>
    <w:p w:rsidR="00401769" w:rsidRDefault="00401769" w:rsidP="003E69F7">
      <w:pPr>
        <w:tabs>
          <w:tab w:val="left" w:pos="4830"/>
        </w:tabs>
        <w:ind w:firstLine="851"/>
        <w:jc w:val="both"/>
        <w:rPr>
          <w:rFonts w:ascii="Arial" w:hAnsi="Arial" w:cs="Arial"/>
          <w:sz w:val="24"/>
          <w:szCs w:val="24"/>
        </w:rPr>
      </w:pPr>
    </w:p>
    <w:p w:rsidR="00C504A4" w:rsidRDefault="004843F0" w:rsidP="00E63780">
      <w:pPr>
        <w:tabs>
          <w:tab w:val="left" w:pos="4830"/>
        </w:tabs>
        <w:ind w:firstLine="851"/>
        <w:jc w:val="both"/>
        <w:rPr>
          <w:rFonts w:ascii="Arial" w:hAnsi="Arial" w:cs="Arial"/>
          <w:sz w:val="24"/>
          <w:szCs w:val="24"/>
        </w:rPr>
      </w:pPr>
      <w:r>
        <w:rPr>
          <w:rFonts w:ascii="Arial" w:hAnsi="Arial" w:cs="Arial"/>
          <w:sz w:val="24"/>
          <w:szCs w:val="24"/>
        </w:rPr>
        <w:t>O regime da separação de bens, previsto nos artigos 1.687 e 1.688, do Código Civil</w:t>
      </w:r>
      <w:r>
        <w:rPr>
          <w:rStyle w:val="Refdenotaderodap"/>
          <w:rFonts w:ascii="Arial" w:hAnsi="Arial" w:cs="Arial"/>
          <w:sz w:val="24"/>
          <w:szCs w:val="24"/>
        </w:rPr>
        <w:footnoteReference w:id="28"/>
      </w:r>
      <w:r w:rsidR="00126ED2">
        <w:rPr>
          <w:rFonts w:ascii="Arial" w:hAnsi="Arial" w:cs="Arial"/>
          <w:sz w:val="24"/>
          <w:szCs w:val="24"/>
        </w:rPr>
        <w:t>,</w:t>
      </w:r>
      <w:r w:rsidR="00C504A4">
        <w:rPr>
          <w:rFonts w:ascii="Arial" w:hAnsi="Arial" w:cs="Arial"/>
          <w:sz w:val="24"/>
          <w:szCs w:val="24"/>
        </w:rPr>
        <w:t xml:space="preserve"> se alicerça em três pilares: administração exclusiva de cada cônjuge sobre </w:t>
      </w:r>
      <w:r w:rsidR="00C504A4">
        <w:rPr>
          <w:rFonts w:ascii="Arial" w:hAnsi="Arial" w:cs="Arial"/>
          <w:sz w:val="24"/>
          <w:szCs w:val="24"/>
        </w:rPr>
        <w:lastRenderedPageBreak/>
        <w:t>seus bens; liberdade de alienação dos bens próprios e do manejo dos resultados daí derivados; e responsabilidade individual sobre dívidas e obrigações</w:t>
      </w:r>
      <w:r w:rsidR="00073770">
        <w:rPr>
          <w:rStyle w:val="Refdenotaderodap"/>
          <w:rFonts w:ascii="Arial" w:hAnsi="Arial" w:cs="Arial"/>
          <w:sz w:val="24"/>
          <w:szCs w:val="24"/>
        </w:rPr>
        <w:footnoteReference w:id="29"/>
      </w:r>
      <w:r w:rsidR="00C504A4">
        <w:rPr>
          <w:rFonts w:ascii="Arial" w:hAnsi="Arial" w:cs="Arial"/>
          <w:sz w:val="24"/>
          <w:szCs w:val="24"/>
        </w:rPr>
        <w:t xml:space="preserve">. </w:t>
      </w:r>
    </w:p>
    <w:p w:rsidR="00443585" w:rsidRDefault="00443585" w:rsidP="00E63780">
      <w:pPr>
        <w:tabs>
          <w:tab w:val="left" w:pos="4830"/>
        </w:tabs>
        <w:ind w:firstLine="851"/>
        <w:jc w:val="both"/>
        <w:rPr>
          <w:rFonts w:ascii="Arial" w:hAnsi="Arial" w:cs="Arial"/>
          <w:sz w:val="24"/>
          <w:szCs w:val="24"/>
        </w:rPr>
      </w:pPr>
      <w:r>
        <w:rPr>
          <w:rFonts w:ascii="Arial" w:hAnsi="Arial" w:cs="Arial"/>
          <w:sz w:val="24"/>
          <w:szCs w:val="24"/>
        </w:rPr>
        <w:t>Nesse cariz, cogente ressaltar que a dissociação patrimonial não alcança a obrigação de manutenção da família por ambos os cônjuges, os quais devem suportar as despesas de modo proporcional a seus rendimentos</w:t>
      </w:r>
      <w:r>
        <w:rPr>
          <w:rStyle w:val="Refdenotaderodap"/>
          <w:rFonts w:ascii="Arial" w:hAnsi="Arial" w:cs="Arial"/>
          <w:sz w:val="24"/>
          <w:szCs w:val="24"/>
        </w:rPr>
        <w:footnoteReference w:id="30"/>
      </w:r>
      <w:r w:rsidR="000F31DE">
        <w:rPr>
          <w:rFonts w:ascii="Arial" w:hAnsi="Arial" w:cs="Arial"/>
          <w:sz w:val="24"/>
          <w:szCs w:val="24"/>
        </w:rPr>
        <w:t>, salvo estipulação em contrário no pacto antenupcial.</w:t>
      </w:r>
      <w:r>
        <w:rPr>
          <w:rFonts w:ascii="Arial" w:hAnsi="Arial" w:cs="Arial"/>
          <w:sz w:val="24"/>
          <w:szCs w:val="24"/>
        </w:rPr>
        <w:t xml:space="preserve"> </w:t>
      </w:r>
    </w:p>
    <w:p w:rsidR="002E3C66" w:rsidRDefault="00AA588E" w:rsidP="00E63780">
      <w:pPr>
        <w:tabs>
          <w:tab w:val="left" w:pos="4830"/>
        </w:tabs>
        <w:ind w:firstLine="851"/>
        <w:jc w:val="both"/>
        <w:rPr>
          <w:rFonts w:ascii="Arial" w:hAnsi="Arial" w:cs="Arial"/>
          <w:sz w:val="24"/>
          <w:szCs w:val="24"/>
        </w:rPr>
      </w:pPr>
      <w:r>
        <w:rPr>
          <w:rFonts w:ascii="Arial" w:hAnsi="Arial" w:cs="Arial"/>
          <w:sz w:val="24"/>
          <w:szCs w:val="24"/>
        </w:rPr>
        <w:t>Este regime, como a própria denominação revela, estabelece a total incomunicabilidade de bens, a fim de que cada cônjuge possua seu acervo particular independentemente da origem ou do momento de aquisição do bem.</w:t>
      </w:r>
      <w:r w:rsidR="004164D8">
        <w:rPr>
          <w:rFonts w:ascii="Arial" w:hAnsi="Arial" w:cs="Arial"/>
          <w:sz w:val="24"/>
          <w:szCs w:val="24"/>
        </w:rPr>
        <w:t xml:space="preserve">                        </w:t>
      </w:r>
    </w:p>
    <w:p w:rsidR="00915A1F" w:rsidRDefault="007F3701" w:rsidP="00E63780">
      <w:pPr>
        <w:tabs>
          <w:tab w:val="left" w:pos="4830"/>
        </w:tabs>
        <w:ind w:firstLine="851"/>
        <w:jc w:val="both"/>
        <w:rPr>
          <w:rFonts w:ascii="Arial" w:hAnsi="Arial" w:cs="Arial"/>
          <w:sz w:val="24"/>
          <w:szCs w:val="24"/>
        </w:rPr>
      </w:pPr>
      <w:r>
        <w:rPr>
          <w:rFonts w:ascii="Arial" w:hAnsi="Arial" w:cs="Arial"/>
          <w:sz w:val="24"/>
          <w:szCs w:val="24"/>
        </w:rPr>
        <w:t>Como gênero, o regime da separação de bens bifurca-se em duas espécies: separação legal de bens e separação convencional de bens, as quais serão abordadas nos subtópicos seguintes.</w:t>
      </w:r>
    </w:p>
    <w:p w:rsidR="00401769" w:rsidRDefault="00401769" w:rsidP="003E69F7">
      <w:pPr>
        <w:tabs>
          <w:tab w:val="left" w:pos="4830"/>
        </w:tabs>
        <w:ind w:firstLine="851"/>
        <w:jc w:val="both"/>
        <w:rPr>
          <w:rFonts w:ascii="Arial" w:hAnsi="Arial" w:cs="Arial"/>
          <w:sz w:val="24"/>
          <w:szCs w:val="24"/>
        </w:rPr>
      </w:pPr>
    </w:p>
    <w:p w:rsidR="00401769" w:rsidRDefault="00795514" w:rsidP="00B559C6">
      <w:pPr>
        <w:tabs>
          <w:tab w:val="left" w:pos="4830"/>
        </w:tabs>
        <w:jc w:val="both"/>
        <w:rPr>
          <w:rFonts w:ascii="Arial" w:hAnsi="Arial" w:cs="Arial"/>
          <w:sz w:val="24"/>
          <w:szCs w:val="24"/>
        </w:rPr>
      </w:pPr>
      <w:r>
        <w:rPr>
          <w:rFonts w:ascii="Arial" w:hAnsi="Arial" w:cs="Arial"/>
          <w:sz w:val="24"/>
          <w:szCs w:val="24"/>
        </w:rPr>
        <w:t>2.4</w:t>
      </w:r>
      <w:r w:rsidR="00401769">
        <w:rPr>
          <w:rFonts w:ascii="Arial" w:hAnsi="Arial" w:cs="Arial"/>
          <w:sz w:val="24"/>
          <w:szCs w:val="24"/>
        </w:rPr>
        <w:t xml:space="preserve">.1. SEPARAÇÃO LEGAL DE BENS </w:t>
      </w:r>
    </w:p>
    <w:p w:rsidR="001B29B9" w:rsidRDefault="001B29B9" w:rsidP="001B29B9">
      <w:pPr>
        <w:tabs>
          <w:tab w:val="left" w:pos="4830"/>
        </w:tabs>
        <w:ind w:firstLine="851"/>
        <w:jc w:val="both"/>
        <w:rPr>
          <w:rFonts w:ascii="Arial" w:hAnsi="Arial" w:cs="Arial"/>
          <w:sz w:val="24"/>
          <w:szCs w:val="24"/>
        </w:rPr>
      </w:pPr>
    </w:p>
    <w:p w:rsidR="001B29B9" w:rsidRDefault="001B29B9" w:rsidP="001B29B9">
      <w:pPr>
        <w:tabs>
          <w:tab w:val="left" w:pos="4830"/>
        </w:tabs>
        <w:ind w:firstLine="851"/>
        <w:jc w:val="both"/>
        <w:rPr>
          <w:rFonts w:ascii="Arial" w:hAnsi="Arial" w:cs="Arial"/>
          <w:sz w:val="24"/>
          <w:szCs w:val="24"/>
        </w:rPr>
      </w:pPr>
      <w:r>
        <w:rPr>
          <w:rFonts w:ascii="Arial" w:hAnsi="Arial" w:cs="Arial"/>
          <w:sz w:val="24"/>
          <w:szCs w:val="24"/>
        </w:rPr>
        <w:t>A separação legal de bens</w:t>
      </w:r>
      <w:r>
        <w:rPr>
          <w:rStyle w:val="Refdenotaderodap"/>
          <w:rFonts w:ascii="Arial" w:hAnsi="Arial" w:cs="Arial"/>
          <w:sz w:val="24"/>
          <w:szCs w:val="24"/>
        </w:rPr>
        <w:footnoteReference w:id="31"/>
      </w:r>
      <w:r>
        <w:rPr>
          <w:rFonts w:ascii="Arial" w:hAnsi="Arial" w:cs="Arial"/>
          <w:sz w:val="24"/>
          <w:szCs w:val="24"/>
        </w:rPr>
        <w:t xml:space="preserve">, prevista no artigo 1.641, do Código Civil, consiste em uma espécie de regime que, por força de circunstâncias consideradas relevantes para o direito, incide obrigatoriamente nas hipóteses especificadas em lei. </w:t>
      </w:r>
    </w:p>
    <w:p w:rsidR="00401769" w:rsidRDefault="001B29B9" w:rsidP="003E69F7">
      <w:pPr>
        <w:tabs>
          <w:tab w:val="left" w:pos="4830"/>
        </w:tabs>
        <w:ind w:firstLine="851"/>
        <w:jc w:val="both"/>
        <w:rPr>
          <w:rFonts w:ascii="Arial" w:hAnsi="Arial" w:cs="Arial"/>
          <w:sz w:val="24"/>
          <w:szCs w:val="24"/>
        </w:rPr>
      </w:pPr>
      <w:r>
        <w:rPr>
          <w:rFonts w:ascii="Arial" w:hAnsi="Arial" w:cs="Arial"/>
          <w:sz w:val="24"/>
          <w:szCs w:val="24"/>
        </w:rPr>
        <w:t>P</w:t>
      </w:r>
      <w:r w:rsidR="00703D10">
        <w:rPr>
          <w:rFonts w:ascii="Arial" w:hAnsi="Arial" w:cs="Arial"/>
          <w:sz w:val="24"/>
          <w:szCs w:val="24"/>
        </w:rPr>
        <w:t xml:space="preserve">ara que a pessoa enquadrada em alguma dessas situações se </w:t>
      </w:r>
      <w:r w:rsidR="0034396B">
        <w:rPr>
          <w:rFonts w:ascii="Arial" w:hAnsi="Arial" w:cs="Arial"/>
          <w:sz w:val="24"/>
          <w:szCs w:val="24"/>
        </w:rPr>
        <w:t>case, é necessário que suporte as condições</w:t>
      </w:r>
      <w:r w:rsidR="00703D10">
        <w:rPr>
          <w:rFonts w:ascii="Arial" w:hAnsi="Arial" w:cs="Arial"/>
          <w:sz w:val="24"/>
          <w:szCs w:val="24"/>
        </w:rPr>
        <w:t xml:space="preserve"> delas decorrentes. Caso contrário, não poderá haver casamento.</w:t>
      </w:r>
    </w:p>
    <w:p w:rsidR="00F16241" w:rsidRDefault="00644E58" w:rsidP="00644E58">
      <w:pPr>
        <w:tabs>
          <w:tab w:val="left" w:pos="4830"/>
        </w:tabs>
        <w:ind w:firstLine="851"/>
        <w:jc w:val="both"/>
        <w:rPr>
          <w:rFonts w:ascii="Arial" w:hAnsi="Arial" w:cs="Arial"/>
          <w:sz w:val="24"/>
          <w:szCs w:val="24"/>
        </w:rPr>
      </w:pPr>
      <w:r>
        <w:rPr>
          <w:rFonts w:ascii="Arial" w:hAnsi="Arial" w:cs="Arial"/>
          <w:sz w:val="24"/>
          <w:szCs w:val="24"/>
        </w:rPr>
        <w:t xml:space="preserve">A primeira hipótese refere-se </w:t>
      </w:r>
      <w:r w:rsidR="00227E26">
        <w:rPr>
          <w:rFonts w:ascii="Arial" w:hAnsi="Arial" w:cs="Arial"/>
          <w:sz w:val="24"/>
          <w:szCs w:val="24"/>
        </w:rPr>
        <w:t xml:space="preserve">ao casamento celebrado enquanto pairam </w:t>
      </w:r>
      <w:r>
        <w:rPr>
          <w:rFonts w:ascii="Arial" w:hAnsi="Arial" w:cs="Arial"/>
          <w:sz w:val="24"/>
          <w:szCs w:val="24"/>
        </w:rPr>
        <w:t>causas suspensivas</w:t>
      </w:r>
      <w:r w:rsidR="00227E26">
        <w:rPr>
          <w:rFonts w:ascii="Arial" w:hAnsi="Arial" w:cs="Arial"/>
          <w:sz w:val="24"/>
          <w:szCs w:val="24"/>
        </w:rPr>
        <w:t xml:space="preserve"> – as quais podem ser afastadas pelo juiz se restar comprovada a inexistência de prejuízo</w:t>
      </w:r>
      <w:r w:rsidR="00227E26">
        <w:rPr>
          <w:rStyle w:val="Refdenotaderodap"/>
          <w:rFonts w:ascii="Arial" w:hAnsi="Arial" w:cs="Arial"/>
          <w:sz w:val="24"/>
          <w:szCs w:val="24"/>
        </w:rPr>
        <w:footnoteReference w:id="32"/>
      </w:r>
      <w:r w:rsidR="00227E26">
        <w:rPr>
          <w:rFonts w:ascii="Arial" w:hAnsi="Arial" w:cs="Arial"/>
          <w:sz w:val="24"/>
          <w:szCs w:val="24"/>
        </w:rPr>
        <w:t xml:space="preserve">. </w:t>
      </w:r>
    </w:p>
    <w:p w:rsidR="00F16241" w:rsidRDefault="00FD1B39" w:rsidP="003E69F7">
      <w:pPr>
        <w:tabs>
          <w:tab w:val="left" w:pos="4830"/>
        </w:tabs>
        <w:ind w:firstLine="851"/>
        <w:jc w:val="both"/>
        <w:rPr>
          <w:rFonts w:ascii="Arial" w:hAnsi="Arial" w:cs="Arial"/>
          <w:sz w:val="24"/>
          <w:szCs w:val="24"/>
        </w:rPr>
      </w:pPr>
      <w:r>
        <w:rPr>
          <w:rFonts w:ascii="Arial" w:hAnsi="Arial" w:cs="Arial"/>
          <w:sz w:val="24"/>
          <w:szCs w:val="24"/>
        </w:rPr>
        <w:t>As causas suspensivas, previstas no artigo 1.523, do Código Civil, consistem na existência de prazo ou condição para que o casamento possa ser realizado sob outro regime de bens. Como exemplo</w:t>
      </w:r>
      <w:r w:rsidR="00FC3BE5">
        <w:rPr>
          <w:rFonts w:ascii="Arial" w:hAnsi="Arial" w:cs="Arial"/>
          <w:sz w:val="24"/>
          <w:szCs w:val="24"/>
        </w:rPr>
        <w:t xml:space="preserve">, </w:t>
      </w:r>
      <w:r>
        <w:rPr>
          <w:rFonts w:ascii="Arial" w:hAnsi="Arial" w:cs="Arial"/>
          <w:sz w:val="24"/>
          <w:szCs w:val="24"/>
        </w:rPr>
        <w:t>est</w:t>
      </w:r>
      <w:r w:rsidR="00C20E5E">
        <w:rPr>
          <w:rFonts w:ascii="Arial" w:hAnsi="Arial" w:cs="Arial"/>
          <w:sz w:val="24"/>
          <w:szCs w:val="24"/>
        </w:rPr>
        <w:t>á o prazo de dez meses</w:t>
      </w:r>
      <w:r w:rsidR="00FC3BE5">
        <w:rPr>
          <w:rFonts w:ascii="Arial" w:hAnsi="Arial" w:cs="Arial"/>
          <w:sz w:val="24"/>
          <w:szCs w:val="24"/>
        </w:rPr>
        <w:t xml:space="preserve"> de espera</w:t>
      </w:r>
      <w:r w:rsidR="00C20E5E">
        <w:rPr>
          <w:rFonts w:ascii="Arial" w:hAnsi="Arial" w:cs="Arial"/>
          <w:sz w:val="24"/>
          <w:szCs w:val="24"/>
        </w:rPr>
        <w:t>, contados da viuvez da mulher,</w:t>
      </w:r>
      <w:r w:rsidR="00FC3BE5">
        <w:rPr>
          <w:rFonts w:ascii="Arial" w:hAnsi="Arial" w:cs="Arial"/>
          <w:sz w:val="24"/>
          <w:szCs w:val="24"/>
        </w:rPr>
        <w:t xml:space="preserve"> para celebrar outro casamento, a fim de evitar incerteza acerca </w:t>
      </w:r>
      <w:r w:rsidR="00FC3BE5">
        <w:rPr>
          <w:rFonts w:ascii="Arial" w:hAnsi="Arial" w:cs="Arial"/>
          <w:sz w:val="24"/>
          <w:szCs w:val="24"/>
        </w:rPr>
        <w:lastRenderedPageBreak/>
        <w:t xml:space="preserve">de eventual paternidade. Ainda, </w:t>
      </w:r>
      <w:r w:rsidR="006B162E">
        <w:rPr>
          <w:rFonts w:ascii="Arial" w:hAnsi="Arial" w:cs="Arial"/>
          <w:sz w:val="24"/>
          <w:szCs w:val="24"/>
        </w:rPr>
        <w:t>como causa suspensiva, estão a conclusão da partilha dos bens quando o viúvo que desejar se casar possua filhos com o falecido, a conclusão da partilha dos bens para o divorciado e a cessação da tutela ou curatela para o tutor ou curador casar-se com a pessoa tutelada ou curatelada</w:t>
      </w:r>
      <w:r w:rsidR="0050777A">
        <w:rPr>
          <w:rStyle w:val="Refdenotaderodap"/>
          <w:rFonts w:ascii="Arial" w:hAnsi="Arial" w:cs="Arial"/>
          <w:sz w:val="24"/>
          <w:szCs w:val="24"/>
        </w:rPr>
        <w:footnoteReference w:id="33"/>
      </w:r>
      <w:r w:rsidR="006B162E">
        <w:rPr>
          <w:rFonts w:ascii="Arial" w:hAnsi="Arial" w:cs="Arial"/>
          <w:sz w:val="24"/>
          <w:szCs w:val="24"/>
        </w:rPr>
        <w:t>.</w:t>
      </w:r>
    </w:p>
    <w:p w:rsidR="00126ED2" w:rsidRPr="00600063" w:rsidRDefault="00855F90" w:rsidP="00C51A7F">
      <w:pPr>
        <w:tabs>
          <w:tab w:val="left" w:pos="4830"/>
        </w:tabs>
        <w:ind w:firstLine="851"/>
        <w:jc w:val="both"/>
        <w:rPr>
          <w:rFonts w:ascii="Arial" w:hAnsi="Arial" w:cs="Arial"/>
          <w:sz w:val="24"/>
          <w:szCs w:val="24"/>
        </w:rPr>
      </w:pPr>
      <w:r>
        <w:rPr>
          <w:rFonts w:ascii="Arial" w:hAnsi="Arial" w:cs="Arial"/>
          <w:sz w:val="24"/>
          <w:szCs w:val="24"/>
        </w:rPr>
        <w:t xml:space="preserve">A segunda hipótese legal em que o regime de separação legal de bens é obrigatório é no caso de um dos nubentes ser maior de 70 (setenta) anos. </w:t>
      </w:r>
      <w:r w:rsidR="00A833DE">
        <w:rPr>
          <w:rFonts w:ascii="Arial" w:hAnsi="Arial" w:cs="Arial"/>
          <w:sz w:val="24"/>
          <w:szCs w:val="24"/>
        </w:rPr>
        <w:t>Tal preceito, c</w:t>
      </w:r>
      <w:r w:rsidR="002647C4">
        <w:rPr>
          <w:rFonts w:ascii="Arial" w:hAnsi="Arial" w:cs="Arial"/>
          <w:sz w:val="24"/>
          <w:szCs w:val="24"/>
        </w:rPr>
        <w:t xml:space="preserve">riado com o intuito de proteger </w:t>
      </w:r>
      <w:r w:rsidR="0050777A">
        <w:rPr>
          <w:rFonts w:ascii="Arial" w:hAnsi="Arial" w:cs="Arial"/>
          <w:sz w:val="24"/>
          <w:szCs w:val="24"/>
        </w:rPr>
        <w:t>o</w:t>
      </w:r>
      <w:r w:rsidR="00801139">
        <w:rPr>
          <w:rFonts w:ascii="Arial" w:hAnsi="Arial" w:cs="Arial"/>
          <w:sz w:val="24"/>
          <w:szCs w:val="24"/>
        </w:rPr>
        <w:t>(a)</w:t>
      </w:r>
      <w:r w:rsidR="0050777A">
        <w:rPr>
          <w:rFonts w:ascii="Arial" w:hAnsi="Arial" w:cs="Arial"/>
          <w:sz w:val="24"/>
          <w:szCs w:val="24"/>
        </w:rPr>
        <w:t xml:space="preserve"> setuagenário</w:t>
      </w:r>
      <w:r w:rsidR="00801139">
        <w:rPr>
          <w:rFonts w:ascii="Arial" w:hAnsi="Arial" w:cs="Arial"/>
          <w:sz w:val="24"/>
          <w:szCs w:val="24"/>
        </w:rPr>
        <w:t>(a)</w:t>
      </w:r>
      <w:r w:rsidR="0050777A">
        <w:rPr>
          <w:rFonts w:ascii="Arial" w:hAnsi="Arial" w:cs="Arial"/>
          <w:sz w:val="24"/>
          <w:szCs w:val="24"/>
        </w:rPr>
        <w:t xml:space="preserve"> de casamentos em que a busca material se manifesta</w:t>
      </w:r>
      <w:r w:rsidR="0050777A">
        <w:rPr>
          <w:rStyle w:val="Refdenotaderodap"/>
          <w:rFonts w:ascii="Arial" w:hAnsi="Arial" w:cs="Arial"/>
          <w:sz w:val="24"/>
          <w:szCs w:val="24"/>
        </w:rPr>
        <w:footnoteReference w:id="34"/>
      </w:r>
      <w:r w:rsidR="0050777A">
        <w:rPr>
          <w:rFonts w:ascii="Arial" w:hAnsi="Arial" w:cs="Arial"/>
          <w:sz w:val="24"/>
          <w:szCs w:val="24"/>
        </w:rPr>
        <w:t xml:space="preserve">, é fortemente criticado pela doutrina, por ser entendido como uma </w:t>
      </w:r>
      <w:r w:rsidR="0050777A" w:rsidRPr="00600063">
        <w:rPr>
          <w:rFonts w:ascii="Arial" w:hAnsi="Arial" w:cs="Arial"/>
          <w:sz w:val="24"/>
          <w:szCs w:val="24"/>
        </w:rPr>
        <w:t>afronta à dignidade da pessoa humana e à liberdade matrimonial</w:t>
      </w:r>
      <w:r w:rsidR="00C51A7F" w:rsidRPr="00600063">
        <w:rPr>
          <w:rStyle w:val="Refdenotaderodap"/>
          <w:rFonts w:ascii="Arial" w:hAnsi="Arial" w:cs="Arial"/>
          <w:sz w:val="24"/>
          <w:szCs w:val="24"/>
        </w:rPr>
        <w:footnoteReference w:id="35"/>
      </w:r>
      <w:r w:rsidR="00794960" w:rsidRPr="00600063">
        <w:rPr>
          <w:rFonts w:ascii="Arial" w:hAnsi="Arial" w:cs="Arial"/>
          <w:sz w:val="24"/>
          <w:szCs w:val="24"/>
        </w:rPr>
        <w:t>.</w:t>
      </w:r>
    </w:p>
    <w:p w:rsidR="007C3CC2" w:rsidRPr="00600063" w:rsidRDefault="00794960" w:rsidP="00C51A7F">
      <w:pPr>
        <w:tabs>
          <w:tab w:val="left" w:pos="4830"/>
        </w:tabs>
        <w:ind w:firstLine="851"/>
        <w:jc w:val="both"/>
        <w:rPr>
          <w:rFonts w:ascii="Arial" w:hAnsi="Arial" w:cs="Arial"/>
          <w:sz w:val="24"/>
          <w:szCs w:val="24"/>
        </w:rPr>
      </w:pPr>
      <w:r w:rsidRPr="00600063">
        <w:rPr>
          <w:rFonts w:ascii="Arial" w:hAnsi="Arial" w:cs="Arial"/>
          <w:sz w:val="24"/>
          <w:szCs w:val="24"/>
        </w:rPr>
        <w:t xml:space="preserve"> A terceira e última hipótese refere-se ao caso daqueles que dependem de suprimento judicial para casar</w:t>
      </w:r>
      <w:r w:rsidR="00600063">
        <w:rPr>
          <w:rStyle w:val="Refdenotaderodap"/>
          <w:rFonts w:ascii="Arial" w:hAnsi="Arial" w:cs="Arial"/>
          <w:sz w:val="24"/>
          <w:szCs w:val="24"/>
        </w:rPr>
        <w:footnoteReference w:id="36"/>
      </w:r>
      <w:r w:rsidR="007C3CC2" w:rsidRPr="00600063">
        <w:rPr>
          <w:rFonts w:ascii="Arial" w:hAnsi="Arial" w:cs="Arial"/>
          <w:sz w:val="24"/>
          <w:szCs w:val="24"/>
        </w:rPr>
        <w:t>, como o menor relativamente capaz que não obteve a autorização de um dos pais para celebrar o matrimônio. Nesse caso, será necessário o suprimento do juiz, conforme o artigo 1.519, do Código Civil</w:t>
      </w:r>
      <w:r w:rsidR="007C3CC2" w:rsidRPr="00600063">
        <w:rPr>
          <w:rStyle w:val="Refdenotaderodap"/>
          <w:rFonts w:ascii="Arial" w:hAnsi="Arial" w:cs="Arial"/>
          <w:sz w:val="24"/>
          <w:szCs w:val="24"/>
        </w:rPr>
        <w:footnoteReference w:id="37"/>
      </w:r>
      <w:r w:rsidR="007C3CC2" w:rsidRPr="00600063">
        <w:rPr>
          <w:rFonts w:ascii="Arial" w:hAnsi="Arial" w:cs="Arial"/>
          <w:sz w:val="24"/>
          <w:szCs w:val="24"/>
        </w:rPr>
        <w:t xml:space="preserve">. </w:t>
      </w:r>
    </w:p>
    <w:p w:rsidR="00794960" w:rsidRDefault="00794960" w:rsidP="00600063">
      <w:pPr>
        <w:tabs>
          <w:tab w:val="left" w:pos="4830"/>
        </w:tabs>
        <w:jc w:val="both"/>
        <w:rPr>
          <w:rFonts w:ascii="Arial" w:hAnsi="Arial" w:cs="Arial"/>
          <w:sz w:val="24"/>
          <w:szCs w:val="24"/>
        </w:rPr>
      </w:pPr>
    </w:p>
    <w:p w:rsidR="00126ED2" w:rsidRDefault="00126ED2" w:rsidP="00126ED2">
      <w:pPr>
        <w:tabs>
          <w:tab w:val="left" w:pos="4830"/>
        </w:tabs>
        <w:jc w:val="both"/>
        <w:rPr>
          <w:rFonts w:ascii="Arial" w:hAnsi="Arial" w:cs="Arial"/>
          <w:sz w:val="24"/>
          <w:szCs w:val="24"/>
        </w:rPr>
      </w:pPr>
      <w:r>
        <w:rPr>
          <w:rFonts w:ascii="Arial" w:hAnsi="Arial" w:cs="Arial"/>
          <w:sz w:val="24"/>
          <w:szCs w:val="24"/>
        </w:rPr>
        <w:t xml:space="preserve">2.5.1. SEPARAÇÃO CONVENCIONAL DE BENS </w:t>
      </w:r>
    </w:p>
    <w:p w:rsidR="00126ED2" w:rsidRDefault="00126ED2" w:rsidP="00915A1F">
      <w:pPr>
        <w:tabs>
          <w:tab w:val="left" w:pos="4830"/>
        </w:tabs>
        <w:ind w:firstLine="851"/>
        <w:jc w:val="both"/>
        <w:rPr>
          <w:rFonts w:ascii="Arial" w:hAnsi="Arial" w:cs="Arial"/>
          <w:sz w:val="24"/>
          <w:szCs w:val="24"/>
        </w:rPr>
      </w:pPr>
    </w:p>
    <w:p w:rsidR="00126ED2" w:rsidRDefault="00126ED2" w:rsidP="00126ED2">
      <w:pPr>
        <w:tabs>
          <w:tab w:val="left" w:pos="4830"/>
        </w:tabs>
        <w:ind w:firstLine="851"/>
        <w:jc w:val="both"/>
        <w:rPr>
          <w:rFonts w:ascii="Arial" w:hAnsi="Arial" w:cs="Arial"/>
          <w:sz w:val="24"/>
          <w:szCs w:val="24"/>
        </w:rPr>
      </w:pPr>
      <w:r>
        <w:rPr>
          <w:rFonts w:ascii="Arial" w:hAnsi="Arial" w:cs="Arial"/>
          <w:sz w:val="24"/>
          <w:szCs w:val="24"/>
        </w:rPr>
        <w:t>A separação convencional de</w:t>
      </w:r>
      <w:r w:rsidR="008C7BCF">
        <w:rPr>
          <w:rFonts w:ascii="Arial" w:hAnsi="Arial" w:cs="Arial"/>
          <w:sz w:val="24"/>
          <w:szCs w:val="24"/>
        </w:rPr>
        <w:t xml:space="preserve"> bens, por sua vez, consiste no regime no qual a dissociação dos patrimônios dos cônjuges não se dá por razão legal, mas sim por </w:t>
      </w:r>
      <w:r>
        <w:rPr>
          <w:rFonts w:ascii="Arial" w:hAnsi="Arial" w:cs="Arial"/>
          <w:sz w:val="24"/>
          <w:szCs w:val="24"/>
        </w:rPr>
        <w:t>livre escolha dos nubentes</w:t>
      </w:r>
      <w:r w:rsidR="008F2BDD">
        <w:rPr>
          <w:rFonts w:ascii="Arial" w:hAnsi="Arial" w:cs="Arial"/>
          <w:sz w:val="24"/>
          <w:szCs w:val="24"/>
        </w:rPr>
        <w:t xml:space="preserve">. </w:t>
      </w:r>
    </w:p>
    <w:p w:rsidR="00126ED2" w:rsidRDefault="00C84C36" w:rsidP="00E63780">
      <w:pPr>
        <w:tabs>
          <w:tab w:val="left" w:pos="4830"/>
        </w:tabs>
        <w:ind w:firstLine="851"/>
        <w:jc w:val="both"/>
        <w:rPr>
          <w:rFonts w:ascii="Arial" w:hAnsi="Arial" w:cs="Arial"/>
          <w:sz w:val="24"/>
          <w:szCs w:val="24"/>
        </w:rPr>
      </w:pPr>
      <w:r>
        <w:rPr>
          <w:rFonts w:ascii="Arial" w:hAnsi="Arial" w:cs="Arial"/>
          <w:sz w:val="24"/>
          <w:szCs w:val="24"/>
        </w:rPr>
        <w:t>Em virtude da</w:t>
      </w:r>
      <w:r w:rsidR="00126ED2">
        <w:rPr>
          <w:rFonts w:ascii="Arial" w:hAnsi="Arial" w:cs="Arial"/>
          <w:sz w:val="24"/>
          <w:szCs w:val="24"/>
        </w:rPr>
        <w:t xml:space="preserve"> inserção da mulher no mercado de trabalho e </w:t>
      </w:r>
      <w:r>
        <w:rPr>
          <w:rFonts w:ascii="Arial" w:hAnsi="Arial" w:cs="Arial"/>
          <w:sz w:val="24"/>
          <w:szCs w:val="24"/>
        </w:rPr>
        <w:t>d</w:t>
      </w:r>
      <w:r w:rsidR="00126ED2">
        <w:rPr>
          <w:rFonts w:ascii="Arial" w:hAnsi="Arial" w:cs="Arial"/>
          <w:sz w:val="24"/>
          <w:szCs w:val="24"/>
        </w:rPr>
        <w:t>a consequente independência financeira feminina</w:t>
      </w:r>
      <w:r>
        <w:rPr>
          <w:rFonts w:ascii="Arial" w:hAnsi="Arial" w:cs="Arial"/>
          <w:sz w:val="24"/>
          <w:szCs w:val="24"/>
        </w:rPr>
        <w:t>,</w:t>
      </w:r>
      <w:r w:rsidRPr="00C84C36">
        <w:rPr>
          <w:rFonts w:ascii="Arial" w:hAnsi="Arial" w:cs="Arial"/>
          <w:sz w:val="24"/>
          <w:szCs w:val="24"/>
        </w:rPr>
        <w:t xml:space="preserve"> </w:t>
      </w:r>
      <w:r>
        <w:rPr>
          <w:rFonts w:ascii="Arial" w:hAnsi="Arial" w:cs="Arial"/>
          <w:sz w:val="24"/>
          <w:szCs w:val="24"/>
        </w:rPr>
        <w:t>esse regime se revela uma crescente tendência das sociedades ocidentais</w:t>
      </w:r>
      <w:r w:rsidR="00677D8E">
        <w:rPr>
          <w:rFonts w:ascii="Arial" w:hAnsi="Arial" w:cs="Arial"/>
          <w:sz w:val="24"/>
          <w:szCs w:val="24"/>
        </w:rPr>
        <w:t>, ante</w:t>
      </w:r>
      <w:r>
        <w:rPr>
          <w:rFonts w:ascii="Arial" w:hAnsi="Arial" w:cs="Arial"/>
          <w:sz w:val="24"/>
          <w:szCs w:val="24"/>
        </w:rPr>
        <w:t xml:space="preserve"> </w:t>
      </w:r>
      <w:r w:rsidR="00126ED2">
        <w:rPr>
          <w:rFonts w:ascii="Arial" w:hAnsi="Arial" w:cs="Arial"/>
          <w:sz w:val="24"/>
          <w:szCs w:val="24"/>
        </w:rPr>
        <w:t>a desnecessidade de proteção patrimonial que a comunhão de bens, comumente adotada antigamente, oferecia</w:t>
      </w:r>
      <w:r w:rsidR="00126ED2">
        <w:rPr>
          <w:rStyle w:val="Refdenotaderodap"/>
          <w:rFonts w:ascii="Arial" w:hAnsi="Arial" w:cs="Arial"/>
          <w:sz w:val="24"/>
          <w:szCs w:val="24"/>
        </w:rPr>
        <w:footnoteReference w:id="38"/>
      </w:r>
      <w:r w:rsidR="00126ED2">
        <w:rPr>
          <w:rFonts w:ascii="Arial" w:hAnsi="Arial" w:cs="Arial"/>
          <w:sz w:val="24"/>
          <w:szCs w:val="24"/>
        </w:rPr>
        <w:t xml:space="preserve">. </w:t>
      </w:r>
    </w:p>
    <w:p w:rsidR="00E00FFA" w:rsidRDefault="00E00FFA" w:rsidP="00E00FFA">
      <w:pPr>
        <w:tabs>
          <w:tab w:val="left" w:pos="4830"/>
        </w:tabs>
        <w:ind w:firstLine="851"/>
        <w:jc w:val="both"/>
        <w:rPr>
          <w:rFonts w:ascii="Arial" w:hAnsi="Arial" w:cs="Arial"/>
          <w:sz w:val="24"/>
          <w:szCs w:val="24"/>
        </w:rPr>
      </w:pPr>
      <w:r>
        <w:rPr>
          <w:rFonts w:ascii="Arial" w:hAnsi="Arial" w:cs="Arial"/>
          <w:sz w:val="24"/>
          <w:szCs w:val="24"/>
        </w:rPr>
        <w:t>Sobre o assunto, Rémy Cabrillac assim pontua:</w:t>
      </w:r>
    </w:p>
    <w:p w:rsidR="00E00FFA" w:rsidRDefault="00E00FFA" w:rsidP="00E00FFA">
      <w:pPr>
        <w:tabs>
          <w:tab w:val="left" w:pos="4830"/>
        </w:tabs>
        <w:ind w:firstLine="851"/>
        <w:jc w:val="both"/>
        <w:rPr>
          <w:rFonts w:ascii="Arial" w:hAnsi="Arial" w:cs="Arial"/>
          <w:sz w:val="24"/>
          <w:szCs w:val="24"/>
        </w:rPr>
      </w:pPr>
    </w:p>
    <w:p w:rsidR="00E00FFA" w:rsidRPr="002E3C66" w:rsidRDefault="00E00FFA" w:rsidP="00E00FFA">
      <w:pPr>
        <w:tabs>
          <w:tab w:val="left" w:pos="4830"/>
        </w:tabs>
        <w:spacing w:line="240" w:lineRule="auto"/>
        <w:ind w:left="2268"/>
        <w:jc w:val="both"/>
        <w:rPr>
          <w:rFonts w:ascii="Arial" w:hAnsi="Arial" w:cs="Arial"/>
          <w:sz w:val="20"/>
          <w:szCs w:val="20"/>
        </w:rPr>
      </w:pPr>
      <w:r>
        <w:rPr>
          <w:rFonts w:ascii="Arial" w:hAnsi="Arial" w:cs="Arial"/>
          <w:sz w:val="20"/>
          <w:szCs w:val="20"/>
        </w:rPr>
        <w:t>Sob o plano psicológico, é o regime dos casais independentes, ou do cônjuge egoísta que tem o divórcio em perspectiva, sendo essa independência de tal monta que alguns autores chegam a dizer que ‘a separação de bens não é propriamente um regime matrimonial; é mais propriamente a ausência de um regime matrimonial’.</w:t>
      </w:r>
      <w:r>
        <w:rPr>
          <w:rStyle w:val="Refdenotaderodap"/>
          <w:rFonts w:ascii="Arial" w:hAnsi="Arial" w:cs="Arial"/>
          <w:sz w:val="20"/>
          <w:szCs w:val="20"/>
        </w:rPr>
        <w:footnoteReference w:id="39"/>
      </w:r>
    </w:p>
    <w:p w:rsidR="00126ED2" w:rsidRDefault="00126ED2" w:rsidP="00126ED2">
      <w:pPr>
        <w:tabs>
          <w:tab w:val="left" w:pos="4830"/>
        </w:tabs>
        <w:ind w:firstLine="851"/>
        <w:jc w:val="both"/>
        <w:rPr>
          <w:rFonts w:ascii="Arial" w:hAnsi="Arial" w:cs="Arial"/>
          <w:sz w:val="24"/>
          <w:szCs w:val="24"/>
        </w:rPr>
      </w:pPr>
    </w:p>
    <w:p w:rsidR="00915A1F" w:rsidRPr="007477AA" w:rsidRDefault="008411CB" w:rsidP="00E63780">
      <w:pPr>
        <w:tabs>
          <w:tab w:val="left" w:pos="4830"/>
        </w:tabs>
        <w:ind w:firstLine="851"/>
        <w:jc w:val="both"/>
        <w:rPr>
          <w:rFonts w:ascii="Arial" w:hAnsi="Arial" w:cs="Arial"/>
          <w:sz w:val="24"/>
          <w:szCs w:val="24"/>
        </w:rPr>
      </w:pPr>
      <w:r w:rsidRPr="007477AA">
        <w:rPr>
          <w:rFonts w:ascii="Arial" w:hAnsi="Arial" w:cs="Arial"/>
          <w:sz w:val="24"/>
          <w:szCs w:val="24"/>
        </w:rPr>
        <w:t>Em virtude da simplicidade, o regim</w:t>
      </w:r>
      <w:r w:rsidR="00CA2C6B">
        <w:rPr>
          <w:rFonts w:ascii="Arial" w:hAnsi="Arial" w:cs="Arial"/>
          <w:sz w:val="24"/>
          <w:szCs w:val="24"/>
        </w:rPr>
        <w:t>e de separação de bens possui a</w:t>
      </w:r>
      <w:r w:rsidRPr="007477AA">
        <w:rPr>
          <w:rFonts w:ascii="Arial" w:hAnsi="Arial" w:cs="Arial"/>
          <w:sz w:val="24"/>
          <w:szCs w:val="24"/>
        </w:rPr>
        <w:t xml:space="preserve"> atraente vantagem de, em caso de eventual dissolução da união conjugal, aniquilar os entraves patrimoniais típicos das demais espécies de regimes, reduzindo a litigiosidade. Por tal razão, 60% da população francesa que alterou o regime de bens</w:t>
      </w:r>
      <w:r w:rsidR="00CC4920">
        <w:rPr>
          <w:rFonts w:ascii="Arial" w:hAnsi="Arial" w:cs="Arial"/>
          <w:sz w:val="24"/>
          <w:szCs w:val="24"/>
        </w:rPr>
        <w:t xml:space="preserve"> optou por essa modalidade</w:t>
      </w:r>
      <w:r w:rsidRPr="007477AA">
        <w:rPr>
          <w:rStyle w:val="Refdenotaderodap"/>
          <w:rFonts w:ascii="Arial" w:hAnsi="Arial" w:cs="Arial"/>
          <w:sz w:val="24"/>
          <w:szCs w:val="24"/>
        </w:rPr>
        <w:footnoteReference w:id="40"/>
      </w:r>
      <w:r w:rsidR="00794960" w:rsidRPr="007477AA">
        <w:rPr>
          <w:rFonts w:ascii="Arial" w:hAnsi="Arial" w:cs="Arial"/>
          <w:sz w:val="24"/>
          <w:szCs w:val="24"/>
        </w:rPr>
        <w:t>.</w:t>
      </w:r>
    </w:p>
    <w:p w:rsidR="00401769" w:rsidRDefault="00401769" w:rsidP="003E69F7">
      <w:pPr>
        <w:tabs>
          <w:tab w:val="left" w:pos="4830"/>
        </w:tabs>
        <w:ind w:firstLine="851"/>
        <w:jc w:val="both"/>
        <w:rPr>
          <w:rFonts w:ascii="Arial" w:hAnsi="Arial" w:cs="Arial"/>
          <w:sz w:val="24"/>
          <w:szCs w:val="24"/>
        </w:rPr>
      </w:pPr>
    </w:p>
    <w:p w:rsidR="00401769" w:rsidRPr="00167AF1" w:rsidRDefault="00401769" w:rsidP="00B559C6">
      <w:pPr>
        <w:tabs>
          <w:tab w:val="left" w:pos="4830"/>
        </w:tabs>
        <w:jc w:val="both"/>
        <w:rPr>
          <w:rFonts w:ascii="Arial" w:hAnsi="Arial" w:cs="Arial"/>
          <w:b/>
          <w:i/>
          <w:sz w:val="24"/>
          <w:szCs w:val="24"/>
        </w:rPr>
      </w:pPr>
      <w:r w:rsidRPr="00823584">
        <w:rPr>
          <w:rFonts w:ascii="Arial" w:hAnsi="Arial" w:cs="Arial"/>
          <w:b/>
          <w:sz w:val="24"/>
          <w:szCs w:val="24"/>
        </w:rPr>
        <w:t xml:space="preserve">3 </w:t>
      </w:r>
      <w:r w:rsidR="00C63AD9">
        <w:rPr>
          <w:rFonts w:ascii="Arial" w:hAnsi="Arial" w:cs="Arial"/>
          <w:b/>
          <w:sz w:val="24"/>
          <w:szCs w:val="24"/>
        </w:rPr>
        <w:t>MEAÇÃO X HERANÇA</w:t>
      </w:r>
    </w:p>
    <w:p w:rsidR="00F16241" w:rsidRDefault="00F16241" w:rsidP="00B559C6">
      <w:pPr>
        <w:tabs>
          <w:tab w:val="left" w:pos="4830"/>
        </w:tabs>
        <w:jc w:val="both"/>
        <w:rPr>
          <w:rFonts w:ascii="Arial" w:hAnsi="Arial" w:cs="Arial"/>
          <w:sz w:val="24"/>
          <w:szCs w:val="24"/>
        </w:rPr>
      </w:pPr>
    </w:p>
    <w:p w:rsidR="00205A16" w:rsidRPr="00DC14EB" w:rsidRDefault="00916551" w:rsidP="00E63780">
      <w:pPr>
        <w:tabs>
          <w:tab w:val="left" w:pos="4830"/>
        </w:tabs>
        <w:ind w:firstLine="851"/>
        <w:jc w:val="both"/>
        <w:rPr>
          <w:rFonts w:ascii="Arial" w:hAnsi="Arial" w:cs="Arial"/>
          <w:sz w:val="24"/>
          <w:szCs w:val="24"/>
        </w:rPr>
      </w:pPr>
      <w:r>
        <w:rPr>
          <w:rFonts w:ascii="Arial" w:hAnsi="Arial" w:cs="Arial"/>
          <w:sz w:val="24"/>
          <w:szCs w:val="24"/>
        </w:rPr>
        <w:t>O direito das sucessões,</w:t>
      </w:r>
      <w:r w:rsidR="00D960B3">
        <w:rPr>
          <w:rFonts w:ascii="Arial" w:hAnsi="Arial" w:cs="Arial"/>
          <w:sz w:val="24"/>
          <w:szCs w:val="24"/>
        </w:rPr>
        <w:t xml:space="preserve"> aqui entendido como o ramo do Direito Civil </w:t>
      </w:r>
      <w:r w:rsidR="00F365D7">
        <w:rPr>
          <w:rFonts w:ascii="Arial" w:hAnsi="Arial" w:cs="Arial"/>
          <w:sz w:val="24"/>
          <w:szCs w:val="24"/>
        </w:rPr>
        <w:t xml:space="preserve">que trata da transmissão do patrimônio do </w:t>
      </w:r>
      <w:r w:rsidR="00F365D7">
        <w:rPr>
          <w:rFonts w:ascii="Arial" w:hAnsi="Arial" w:cs="Arial"/>
          <w:i/>
          <w:sz w:val="24"/>
          <w:szCs w:val="24"/>
        </w:rPr>
        <w:t>de cujus</w:t>
      </w:r>
      <w:r w:rsidR="00F365D7">
        <w:rPr>
          <w:rFonts w:ascii="Arial" w:hAnsi="Arial" w:cs="Arial"/>
          <w:sz w:val="24"/>
          <w:szCs w:val="24"/>
        </w:rPr>
        <w:t>, é explicado por Clóvis Bevil</w:t>
      </w:r>
      <w:r w:rsidR="00126810">
        <w:rPr>
          <w:rFonts w:ascii="Arial" w:hAnsi="Arial" w:cs="Arial"/>
          <w:sz w:val="24"/>
          <w:szCs w:val="24"/>
        </w:rPr>
        <w:t>a</w:t>
      </w:r>
      <w:r w:rsidR="00F365D7">
        <w:rPr>
          <w:rFonts w:ascii="Arial" w:hAnsi="Arial" w:cs="Arial"/>
          <w:sz w:val="24"/>
          <w:szCs w:val="24"/>
        </w:rPr>
        <w:t xml:space="preserve">cqua como um </w:t>
      </w:r>
      <w:r w:rsidR="00F365D7" w:rsidRPr="00DC14EB">
        <w:rPr>
          <w:rFonts w:ascii="Arial" w:hAnsi="Arial" w:cs="Arial"/>
          <w:sz w:val="24"/>
          <w:szCs w:val="24"/>
        </w:rPr>
        <w:t>“complexo de princípios segundo os quais se realiza a transmissão do patrimônio de alguém que deixa de existir”</w:t>
      </w:r>
      <w:r w:rsidR="00126810">
        <w:rPr>
          <w:rStyle w:val="Refdenotaderodap"/>
          <w:rFonts w:ascii="Arial" w:hAnsi="Arial" w:cs="Arial"/>
          <w:sz w:val="24"/>
          <w:szCs w:val="24"/>
        </w:rPr>
        <w:footnoteReference w:id="41"/>
      </w:r>
      <w:r w:rsidR="00F365D7">
        <w:rPr>
          <w:rFonts w:ascii="Arial" w:hAnsi="Arial" w:cs="Arial"/>
          <w:sz w:val="24"/>
          <w:szCs w:val="24"/>
        </w:rPr>
        <w:t>. N</w:t>
      </w:r>
      <w:r>
        <w:rPr>
          <w:rFonts w:ascii="Arial" w:hAnsi="Arial" w:cs="Arial"/>
          <w:sz w:val="24"/>
          <w:szCs w:val="24"/>
        </w:rPr>
        <w:t xml:space="preserve">as palavras de Caio Mário da Silva Pereira, consiste no fenômeno de uma pessoa </w:t>
      </w:r>
      <w:r w:rsidRPr="00DC14EB">
        <w:rPr>
          <w:rFonts w:ascii="Arial" w:hAnsi="Arial" w:cs="Arial"/>
          <w:sz w:val="24"/>
          <w:szCs w:val="24"/>
        </w:rPr>
        <w:t>“inserir-se na titularidade de uma relação jurídica que lhe advém de outra pessoa, e, por metonímia, a própria transferência de direitos, de uma a outra pessoa”</w:t>
      </w:r>
      <w:r w:rsidRPr="00DC14EB">
        <w:rPr>
          <w:rStyle w:val="Refdenotaderodap"/>
          <w:rFonts w:ascii="Arial" w:hAnsi="Arial" w:cs="Arial"/>
          <w:sz w:val="24"/>
          <w:szCs w:val="24"/>
        </w:rPr>
        <w:footnoteReference w:id="42"/>
      </w:r>
      <w:r w:rsidRPr="00DC14EB">
        <w:rPr>
          <w:rFonts w:ascii="Arial" w:hAnsi="Arial" w:cs="Arial"/>
          <w:sz w:val="24"/>
          <w:szCs w:val="24"/>
        </w:rPr>
        <w:t xml:space="preserve">. </w:t>
      </w:r>
      <w:r w:rsidR="00823584" w:rsidRPr="00DC14EB">
        <w:rPr>
          <w:rFonts w:ascii="Arial" w:hAnsi="Arial" w:cs="Arial"/>
          <w:sz w:val="24"/>
          <w:szCs w:val="24"/>
        </w:rPr>
        <w:t xml:space="preserve"> </w:t>
      </w:r>
    </w:p>
    <w:p w:rsidR="00760024" w:rsidRDefault="00760024" w:rsidP="00E63780">
      <w:pPr>
        <w:tabs>
          <w:tab w:val="left" w:pos="4830"/>
        </w:tabs>
        <w:ind w:firstLine="851"/>
        <w:jc w:val="both"/>
        <w:rPr>
          <w:rFonts w:ascii="Arial" w:hAnsi="Arial" w:cs="Arial"/>
          <w:sz w:val="24"/>
          <w:szCs w:val="24"/>
        </w:rPr>
      </w:pPr>
      <w:r>
        <w:rPr>
          <w:rFonts w:ascii="Arial" w:hAnsi="Arial" w:cs="Arial"/>
          <w:sz w:val="24"/>
          <w:szCs w:val="24"/>
        </w:rPr>
        <w:t>Nesse sentido, compete uma breve explanação a respeito dos institutos da meação e da herança, que, apesar de distintos, frequentemente sofrem descabidas aproximações por diversos operadores do Direito.</w:t>
      </w:r>
    </w:p>
    <w:p w:rsidR="00760024" w:rsidRDefault="00760024" w:rsidP="00E63780">
      <w:pPr>
        <w:tabs>
          <w:tab w:val="left" w:pos="4830"/>
        </w:tabs>
        <w:ind w:firstLine="851"/>
        <w:jc w:val="both"/>
        <w:rPr>
          <w:rFonts w:ascii="Arial" w:hAnsi="Arial" w:cs="Arial"/>
          <w:sz w:val="24"/>
          <w:szCs w:val="24"/>
        </w:rPr>
      </w:pPr>
      <w:r>
        <w:rPr>
          <w:rFonts w:ascii="Arial" w:hAnsi="Arial" w:cs="Arial"/>
          <w:sz w:val="24"/>
          <w:szCs w:val="24"/>
        </w:rPr>
        <w:t xml:space="preserve">A meação, instituto de direito de família, surge no momento da celebração do casamento. Consiste, desse modo, na metade do acervo dos bens comuns dos cônjuges, o qual representa, como visto anteriormente, a integralidade do patrimônio do casal no regime de comunhão universal de bens e, no regime de comunhão parcial, apenas os bens adquiridos após a celebração do casamento. Por tal razão, não há se </w:t>
      </w:r>
      <w:r>
        <w:rPr>
          <w:rFonts w:ascii="Arial" w:hAnsi="Arial" w:cs="Arial"/>
          <w:sz w:val="24"/>
          <w:szCs w:val="24"/>
        </w:rPr>
        <w:lastRenderedPageBreak/>
        <w:t>falar em meação na hipótese de separação de bens</w:t>
      </w:r>
      <w:r>
        <w:rPr>
          <w:rStyle w:val="Refdenotaderodap"/>
          <w:rFonts w:ascii="Arial" w:hAnsi="Arial" w:cs="Arial"/>
          <w:sz w:val="24"/>
          <w:szCs w:val="24"/>
        </w:rPr>
        <w:footnoteReference w:id="43"/>
      </w:r>
      <w:r>
        <w:rPr>
          <w:rFonts w:ascii="Arial" w:hAnsi="Arial" w:cs="Arial"/>
          <w:sz w:val="24"/>
          <w:szCs w:val="24"/>
        </w:rPr>
        <w:t>. Assim, por pertencer exclusivamente ao cônjuge sobrevivente, a meação a ele pertencente não é objeto da sucessão.</w:t>
      </w:r>
    </w:p>
    <w:p w:rsidR="00760024" w:rsidRDefault="00760024" w:rsidP="00E63780">
      <w:pPr>
        <w:tabs>
          <w:tab w:val="left" w:pos="4830"/>
        </w:tabs>
        <w:ind w:firstLine="851"/>
        <w:jc w:val="both"/>
        <w:rPr>
          <w:rFonts w:ascii="Arial" w:hAnsi="Arial" w:cs="Arial"/>
          <w:sz w:val="24"/>
          <w:szCs w:val="24"/>
        </w:rPr>
      </w:pPr>
      <w:r>
        <w:rPr>
          <w:rFonts w:ascii="Arial" w:hAnsi="Arial" w:cs="Arial"/>
          <w:sz w:val="24"/>
          <w:szCs w:val="24"/>
        </w:rPr>
        <w:t>Lado outro, a herança, instituto próprio do direito das sucessões, surge no momento do falecimento e consiste no patrimônio do falecido (bens particulares) e na sua própria meação (bens comuns), não abrangendo, portanto, a parcela dos bens comuns relativa ao consorte</w:t>
      </w:r>
      <w:r>
        <w:rPr>
          <w:rStyle w:val="Refdenotaderodap"/>
          <w:rFonts w:ascii="Arial" w:hAnsi="Arial" w:cs="Arial"/>
          <w:sz w:val="24"/>
          <w:szCs w:val="24"/>
        </w:rPr>
        <w:footnoteReference w:id="44"/>
      </w:r>
      <w:r>
        <w:rPr>
          <w:rFonts w:ascii="Arial" w:hAnsi="Arial" w:cs="Arial"/>
          <w:sz w:val="24"/>
          <w:szCs w:val="24"/>
        </w:rPr>
        <w:t>.</w:t>
      </w:r>
    </w:p>
    <w:p w:rsidR="00760024" w:rsidRDefault="00760024" w:rsidP="00E63780">
      <w:pPr>
        <w:tabs>
          <w:tab w:val="left" w:pos="4830"/>
        </w:tabs>
        <w:ind w:firstLine="851"/>
        <w:jc w:val="both"/>
        <w:rPr>
          <w:rFonts w:ascii="Arial" w:hAnsi="Arial" w:cs="Arial"/>
          <w:sz w:val="24"/>
          <w:szCs w:val="24"/>
        </w:rPr>
      </w:pPr>
      <w:r>
        <w:rPr>
          <w:rFonts w:ascii="Arial" w:hAnsi="Arial" w:cs="Arial"/>
          <w:sz w:val="24"/>
          <w:szCs w:val="24"/>
        </w:rPr>
        <w:t xml:space="preserve">Sobre o tema, Francisco Cahali assim explica: </w:t>
      </w:r>
    </w:p>
    <w:p w:rsidR="00760024" w:rsidRDefault="00760024" w:rsidP="00760024">
      <w:pPr>
        <w:tabs>
          <w:tab w:val="left" w:pos="4830"/>
        </w:tabs>
        <w:ind w:firstLine="709"/>
        <w:jc w:val="both"/>
        <w:rPr>
          <w:rFonts w:ascii="Arial" w:hAnsi="Arial" w:cs="Arial"/>
          <w:sz w:val="24"/>
          <w:szCs w:val="24"/>
        </w:rPr>
      </w:pPr>
    </w:p>
    <w:p w:rsidR="00194ACA" w:rsidRDefault="00760024" w:rsidP="00194ACA">
      <w:pPr>
        <w:tabs>
          <w:tab w:val="left" w:pos="4830"/>
        </w:tabs>
        <w:spacing w:line="240" w:lineRule="auto"/>
        <w:ind w:left="2268"/>
        <w:jc w:val="both"/>
        <w:rPr>
          <w:rFonts w:ascii="Arial" w:hAnsi="Arial" w:cs="Arial"/>
          <w:sz w:val="20"/>
          <w:szCs w:val="20"/>
        </w:rPr>
      </w:pPr>
      <w:r w:rsidRPr="00B7198F">
        <w:rPr>
          <w:rFonts w:ascii="Arial" w:hAnsi="Arial" w:cs="Arial"/>
          <w:sz w:val="20"/>
          <w:szCs w:val="20"/>
        </w:rPr>
        <w:t>A meação não é objeto da sucessão, pois pertencente ao cônjuge por direito próprio, em razão do casamento. A herança, objeto do inventário, será destinada aos sucessores (legais ou instituídos), sempre preservada eventual meação, dela não integrante</w:t>
      </w:r>
      <w:r>
        <w:rPr>
          <w:rStyle w:val="Refdenotaderodap"/>
          <w:rFonts w:ascii="Arial" w:hAnsi="Arial" w:cs="Arial"/>
          <w:sz w:val="20"/>
          <w:szCs w:val="20"/>
        </w:rPr>
        <w:footnoteReference w:id="45"/>
      </w:r>
      <w:r w:rsidRPr="00B7198F">
        <w:rPr>
          <w:rFonts w:ascii="Arial" w:hAnsi="Arial" w:cs="Arial"/>
          <w:sz w:val="20"/>
          <w:szCs w:val="20"/>
        </w:rPr>
        <w:t xml:space="preserve">. </w:t>
      </w:r>
    </w:p>
    <w:p w:rsidR="00194ACA" w:rsidRDefault="00194ACA" w:rsidP="00C63AD9">
      <w:pPr>
        <w:tabs>
          <w:tab w:val="left" w:pos="4830"/>
        </w:tabs>
        <w:ind w:firstLine="1418"/>
        <w:jc w:val="both"/>
        <w:rPr>
          <w:rFonts w:ascii="Arial" w:hAnsi="Arial" w:cs="Arial"/>
          <w:sz w:val="20"/>
          <w:szCs w:val="20"/>
        </w:rPr>
      </w:pPr>
    </w:p>
    <w:p w:rsidR="00760024" w:rsidRDefault="00760024" w:rsidP="00E63780">
      <w:pPr>
        <w:tabs>
          <w:tab w:val="left" w:pos="4830"/>
        </w:tabs>
        <w:ind w:firstLine="851"/>
        <w:jc w:val="both"/>
        <w:rPr>
          <w:rFonts w:ascii="Arial" w:hAnsi="Arial" w:cs="Arial"/>
          <w:sz w:val="24"/>
          <w:szCs w:val="24"/>
        </w:rPr>
      </w:pPr>
      <w:r>
        <w:rPr>
          <w:rFonts w:ascii="Arial" w:hAnsi="Arial" w:cs="Arial"/>
          <w:sz w:val="24"/>
          <w:szCs w:val="24"/>
        </w:rPr>
        <w:t xml:space="preserve">Por razões </w:t>
      </w:r>
      <w:r w:rsidR="007034E1">
        <w:rPr>
          <w:rFonts w:ascii="Arial" w:hAnsi="Arial" w:cs="Arial"/>
          <w:sz w:val="24"/>
          <w:szCs w:val="24"/>
        </w:rPr>
        <w:t>metodológicas</w:t>
      </w:r>
      <w:r>
        <w:rPr>
          <w:rFonts w:ascii="Arial" w:hAnsi="Arial" w:cs="Arial"/>
          <w:sz w:val="24"/>
          <w:szCs w:val="24"/>
        </w:rPr>
        <w:t>, o presente trabalho abordará a sucessão legítima, ou seja, aquela que se opera por lei às pessoas constantes na ordem de vocação hereditária</w:t>
      </w:r>
      <w:r>
        <w:rPr>
          <w:rStyle w:val="Refdenotaderodap"/>
          <w:rFonts w:ascii="Arial" w:hAnsi="Arial" w:cs="Arial"/>
          <w:sz w:val="24"/>
          <w:szCs w:val="24"/>
        </w:rPr>
        <w:footnoteReference w:id="46"/>
      </w:r>
      <w:r>
        <w:rPr>
          <w:rFonts w:ascii="Arial" w:hAnsi="Arial" w:cs="Arial"/>
          <w:sz w:val="24"/>
          <w:szCs w:val="24"/>
        </w:rPr>
        <w:t>, com enfoque na figura do cônjuge</w:t>
      </w:r>
      <w:r>
        <w:rPr>
          <w:rStyle w:val="Refdenotaderodap"/>
          <w:rFonts w:ascii="Arial" w:hAnsi="Arial" w:cs="Arial"/>
          <w:sz w:val="24"/>
          <w:szCs w:val="24"/>
        </w:rPr>
        <w:footnoteReference w:id="47"/>
      </w:r>
      <w:r>
        <w:rPr>
          <w:rFonts w:ascii="Arial" w:hAnsi="Arial" w:cs="Arial"/>
          <w:sz w:val="24"/>
          <w:szCs w:val="24"/>
        </w:rPr>
        <w:t xml:space="preserve"> como herdeiro necessário. </w:t>
      </w:r>
    </w:p>
    <w:p w:rsidR="00CD12BD" w:rsidRDefault="00CD12BD" w:rsidP="00C63AD9">
      <w:pPr>
        <w:tabs>
          <w:tab w:val="left" w:pos="4830"/>
        </w:tabs>
        <w:ind w:firstLine="709"/>
        <w:jc w:val="both"/>
        <w:rPr>
          <w:rFonts w:ascii="Arial" w:hAnsi="Arial" w:cs="Arial"/>
          <w:sz w:val="24"/>
          <w:szCs w:val="24"/>
        </w:rPr>
      </w:pPr>
    </w:p>
    <w:p w:rsidR="00C63AD9" w:rsidRDefault="00C63AD9" w:rsidP="00C63AD9">
      <w:pPr>
        <w:tabs>
          <w:tab w:val="left" w:pos="4830"/>
        </w:tabs>
        <w:jc w:val="both"/>
        <w:rPr>
          <w:rFonts w:ascii="Arial" w:hAnsi="Arial" w:cs="Arial"/>
          <w:sz w:val="24"/>
          <w:szCs w:val="24"/>
        </w:rPr>
      </w:pPr>
      <w:r>
        <w:rPr>
          <w:rFonts w:ascii="Arial" w:hAnsi="Arial" w:cs="Arial"/>
          <w:b/>
          <w:sz w:val="24"/>
          <w:szCs w:val="24"/>
        </w:rPr>
        <w:t>4 DA ELEVAÇÃO DO CONJUGE SUPÉRSTITE AO STATUS DE HERDEIRO NECESSÁRIO</w:t>
      </w:r>
      <w:r>
        <w:rPr>
          <w:rFonts w:ascii="Arial" w:hAnsi="Arial" w:cs="Arial"/>
          <w:sz w:val="24"/>
          <w:szCs w:val="24"/>
        </w:rPr>
        <w:t xml:space="preserve"> </w:t>
      </w:r>
    </w:p>
    <w:p w:rsidR="00C63AD9" w:rsidRDefault="00C63AD9" w:rsidP="00C63AD9">
      <w:pPr>
        <w:tabs>
          <w:tab w:val="left" w:pos="4830"/>
        </w:tabs>
        <w:jc w:val="both"/>
        <w:rPr>
          <w:rFonts w:ascii="Arial" w:hAnsi="Arial" w:cs="Arial"/>
          <w:sz w:val="24"/>
          <w:szCs w:val="24"/>
        </w:rPr>
      </w:pPr>
    </w:p>
    <w:p w:rsidR="00DC0E14" w:rsidRDefault="00EF4479" w:rsidP="00E63780">
      <w:pPr>
        <w:tabs>
          <w:tab w:val="left" w:pos="4830"/>
        </w:tabs>
        <w:ind w:firstLine="851"/>
        <w:jc w:val="both"/>
        <w:rPr>
          <w:rFonts w:ascii="Arial" w:hAnsi="Arial" w:cs="Arial"/>
          <w:sz w:val="24"/>
          <w:szCs w:val="24"/>
        </w:rPr>
      </w:pPr>
      <w:r>
        <w:rPr>
          <w:rFonts w:ascii="Arial" w:hAnsi="Arial" w:cs="Arial"/>
          <w:sz w:val="24"/>
          <w:szCs w:val="24"/>
        </w:rPr>
        <w:t>O herdeiro necessário</w:t>
      </w:r>
      <w:r w:rsidR="00C66AE2">
        <w:rPr>
          <w:rStyle w:val="Refdenotaderodap"/>
          <w:rFonts w:ascii="Arial" w:hAnsi="Arial" w:cs="Arial"/>
          <w:sz w:val="24"/>
          <w:szCs w:val="24"/>
        </w:rPr>
        <w:footnoteReference w:id="48"/>
      </w:r>
      <w:r>
        <w:rPr>
          <w:rFonts w:ascii="Arial" w:hAnsi="Arial" w:cs="Arial"/>
          <w:sz w:val="24"/>
          <w:szCs w:val="24"/>
        </w:rPr>
        <w:t xml:space="preserve"> representa, no direito brasileiro, o sucessor </w:t>
      </w:r>
      <w:r w:rsidRPr="00EF4479">
        <w:rPr>
          <w:rFonts w:ascii="Arial" w:hAnsi="Arial" w:cs="Arial"/>
          <w:sz w:val="24"/>
          <w:szCs w:val="24"/>
        </w:rPr>
        <w:t>legítimo</w:t>
      </w:r>
      <w:r>
        <w:rPr>
          <w:rFonts w:ascii="Arial" w:hAnsi="Arial" w:cs="Arial"/>
          <w:sz w:val="24"/>
          <w:szCs w:val="24"/>
        </w:rPr>
        <w:t xml:space="preserve"> a quem, por lei, cabe</w:t>
      </w:r>
      <w:r w:rsidR="00E75774">
        <w:rPr>
          <w:rFonts w:ascii="Arial" w:hAnsi="Arial" w:cs="Arial"/>
          <w:sz w:val="24"/>
          <w:szCs w:val="24"/>
        </w:rPr>
        <w:t xml:space="preserve">, no mínimo, </w:t>
      </w:r>
      <w:r>
        <w:rPr>
          <w:rFonts w:ascii="Arial" w:hAnsi="Arial" w:cs="Arial"/>
          <w:sz w:val="24"/>
          <w:szCs w:val="24"/>
        </w:rPr>
        <w:t xml:space="preserve">50% do patrimônio do falecido, tornando disponível </w:t>
      </w:r>
      <w:r>
        <w:rPr>
          <w:rFonts w:ascii="Arial" w:hAnsi="Arial" w:cs="Arial"/>
          <w:sz w:val="24"/>
          <w:szCs w:val="24"/>
        </w:rPr>
        <w:lastRenderedPageBreak/>
        <w:t>para testamento</w:t>
      </w:r>
      <w:r w:rsidR="00205A16">
        <w:rPr>
          <w:rFonts w:ascii="Arial" w:hAnsi="Arial" w:cs="Arial"/>
          <w:sz w:val="24"/>
          <w:szCs w:val="24"/>
        </w:rPr>
        <w:t xml:space="preserve"> (sucessão testamentária)</w:t>
      </w:r>
      <w:r>
        <w:rPr>
          <w:rFonts w:ascii="Arial" w:hAnsi="Arial" w:cs="Arial"/>
          <w:sz w:val="24"/>
          <w:szCs w:val="24"/>
        </w:rPr>
        <w:t xml:space="preserve"> apenas a outra metade do acervo patrimonial do </w:t>
      </w:r>
      <w:r>
        <w:rPr>
          <w:rFonts w:ascii="Arial" w:hAnsi="Arial" w:cs="Arial"/>
          <w:i/>
          <w:sz w:val="24"/>
          <w:szCs w:val="24"/>
        </w:rPr>
        <w:t>de cujus</w:t>
      </w:r>
      <w:r>
        <w:rPr>
          <w:rStyle w:val="Refdenotaderodap"/>
          <w:rFonts w:ascii="Arial" w:hAnsi="Arial" w:cs="Arial"/>
          <w:i/>
          <w:sz w:val="24"/>
          <w:szCs w:val="24"/>
        </w:rPr>
        <w:footnoteReference w:id="49"/>
      </w:r>
      <w:r>
        <w:rPr>
          <w:rFonts w:ascii="Arial" w:hAnsi="Arial" w:cs="Arial"/>
          <w:sz w:val="24"/>
          <w:szCs w:val="24"/>
        </w:rPr>
        <w:t xml:space="preserve">. </w:t>
      </w:r>
    </w:p>
    <w:p w:rsidR="00DC0E14" w:rsidRDefault="00DC0E14" w:rsidP="00E63780">
      <w:pPr>
        <w:tabs>
          <w:tab w:val="left" w:pos="4830"/>
        </w:tabs>
        <w:ind w:firstLine="851"/>
        <w:jc w:val="both"/>
        <w:rPr>
          <w:rFonts w:ascii="Arial" w:hAnsi="Arial" w:cs="Arial"/>
          <w:sz w:val="24"/>
          <w:szCs w:val="24"/>
        </w:rPr>
      </w:pPr>
      <w:r>
        <w:rPr>
          <w:rFonts w:ascii="Arial" w:hAnsi="Arial" w:cs="Arial"/>
          <w:sz w:val="24"/>
          <w:szCs w:val="24"/>
        </w:rPr>
        <w:t>Nessa figura enquadram-se</w:t>
      </w:r>
      <w:r w:rsidR="007C5FE0">
        <w:rPr>
          <w:rFonts w:ascii="Arial" w:hAnsi="Arial" w:cs="Arial"/>
          <w:sz w:val="24"/>
          <w:szCs w:val="24"/>
        </w:rPr>
        <w:t>, segundo M</w:t>
      </w:r>
      <w:r w:rsidR="00194ACA">
        <w:rPr>
          <w:rFonts w:ascii="Arial" w:hAnsi="Arial" w:cs="Arial"/>
          <w:sz w:val="24"/>
          <w:szCs w:val="24"/>
        </w:rPr>
        <w:t>ário</w:t>
      </w:r>
      <w:r w:rsidR="007C5FE0">
        <w:rPr>
          <w:rFonts w:ascii="Arial" w:hAnsi="Arial" w:cs="Arial"/>
          <w:sz w:val="24"/>
          <w:szCs w:val="24"/>
        </w:rPr>
        <w:t xml:space="preserve"> Luiz Delgado,</w:t>
      </w:r>
      <w:r>
        <w:rPr>
          <w:rFonts w:ascii="Arial" w:hAnsi="Arial" w:cs="Arial"/>
          <w:sz w:val="24"/>
          <w:szCs w:val="24"/>
        </w:rPr>
        <w:t xml:space="preserve"> três classes: a primeira, constituída pelos descendentes; a segunda, integrada pelos ascendentes; e a terceira, formada pelo cônjuge sobrevivente</w:t>
      </w:r>
      <w:r>
        <w:rPr>
          <w:rStyle w:val="Refdenotaderodap"/>
          <w:rFonts w:ascii="Arial" w:hAnsi="Arial" w:cs="Arial"/>
          <w:sz w:val="24"/>
          <w:szCs w:val="24"/>
        </w:rPr>
        <w:footnoteReference w:id="50"/>
      </w:r>
      <w:r>
        <w:rPr>
          <w:rFonts w:ascii="Arial" w:hAnsi="Arial" w:cs="Arial"/>
          <w:sz w:val="24"/>
          <w:szCs w:val="24"/>
        </w:rPr>
        <w:t xml:space="preserve">. </w:t>
      </w:r>
      <w:r w:rsidR="0059571A">
        <w:rPr>
          <w:rFonts w:ascii="Arial" w:hAnsi="Arial" w:cs="Arial"/>
          <w:sz w:val="24"/>
          <w:szCs w:val="24"/>
        </w:rPr>
        <w:t>Tais pessoas não podem ser privadas do recebimento da legítima, salvo hipóteses específicas de deserdação</w:t>
      </w:r>
      <w:r w:rsidR="00230B22">
        <w:rPr>
          <w:rStyle w:val="Refdenotaderodap"/>
          <w:rFonts w:ascii="Arial" w:hAnsi="Arial" w:cs="Arial"/>
          <w:sz w:val="24"/>
          <w:szCs w:val="24"/>
        </w:rPr>
        <w:footnoteReference w:id="51"/>
      </w:r>
      <w:r w:rsidR="0059571A">
        <w:rPr>
          <w:rFonts w:ascii="Arial" w:hAnsi="Arial" w:cs="Arial"/>
          <w:sz w:val="24"/>
          <w:szCs w:val="24"/>
        </w:rPr>
        <w:t>.</w:t>
      </w:r>
    </w:p>
    <w:p w:rsidR="00465E7F" w:rsidRDefault="00230B22" w:rsidP="00E63780">
      <w:pPr>
        <w:tabs>
          <w:tab w:val="left" w:pos="4830"/>
        </w:tabs>
        <w:ind w:firstLine="851"/>
        <w:jc w:val="both"/>
        <w:rPr>
          <w:rFonts w:ascii="Arial" w:hAnsi="Arial" w:cs="Arial"/>
          <w:color w:val="FF0000"/>
          <w:sz w:val="24"/>
          <w:szCs w:val="24"/>
        </w:rPr>
      </w:pPr>
      <w:r>
        <w:rPr>
          <w:rFonts w:ascii="Arial" w:hAnsi="Arial" w:cs="Arial"/>
          <w:sz w:val="24"/>
          <w:szCs w:val="24"/>
        </w:rPr>
        <w:t xml:space="preserve">O </w:t>
      </w:r>
      <w:r w:rsidRPr="00895E85">
        <w:rPr>
          <w:rFonts w:ascii="Arial" w:hAnsi="Arial" w:cs="Arial"/>
          <w:sz w:val="24"/>
          <w:szCs w:val="24"/>
        </w:rPr>
        <w:t xml:space="preserve">Código Civil </w:t>
      </w:r>
      <w:r w:rsidR="00157F63" w:rsidRPr="00895E85">
        <w:rPr>
          <w:rFonts w:ascii="Arial" w:hAnsi="Arial" w:cs="Arial"/>
          <w:sz w:val="24"/>
          <w:szCs w:val="24"/>
        </w:rPr>
        <w:t>de 2002 tornou</w:t>
      </w:r>
      <w:r w:rsidR="00895E85">
        <w:rPr>
          <w:rFonts w:ascii="Arial" w:hAnsi="Arial" w:cs="Arial"/>
          <w:sz w:val="24"/>
          <w:szCs w:val="24"/>
        </w:rPr>
        <w:t>, em decorrência de sua elevação à categoria de herdeiro necessário,</w:t>
      </w:r>
      <w:r w:rsidR="00157F63" w:rsidRPr="00895E85">
        <w:rPr>
          <w:rFonts w:ascii="Arial" w:hAnsi="Arial" w:cs="Arial"/>
          <w:sz w:val="24"/>
          <w:szCs w:val="24"/>
        </w:rPr>
        <w:t xml:space="preserve"> o cônjuge sobrevivente </w:t>
      </w:r>
      <w:r w:rsidR="00DC0E14" w:rsidRPr="00895E85">
        <w:rPr>
          <w:rFonts w:ascii="Arial" w:hAnsi="Arial" w:cs="Arial"/>
          <w:sz w:val="24"/>
          <w:szCs w:val="24"/>
        </w:rPr>
        <w:t>concorrente</w:t>
      </w:r>
      <w:r w:rsidR="00760024" w:rsidRPr="00895E85">
        <w:rPr>
          <w:rStyle w:val="Refdenotaderodap"/>
          <w:rFonts w:ascii="Arial" w:hAnsi="Arial" w:cs="Arial"/>
          <w:sz w:val="24"/>
          <w:szCs w:val="24"/>
        </w:rPr>
        <w:footnoteReference w:id="52"/>
      </w:r>
      <w:r w:rsidR="00DC0E14" w:rsidRPr="00895E85">
        <w:rPr>
          <w:rFonts w:ascii="Arial" w:hAnsi="Arial" w:cs="Arial"/>
          <w:sz w:val="24"/>
          <w:szCs w:val="24"/>
        </w:rPr>
        <w:t xml:space="preserve"> com descendentes e ascendentes do falecido</w:t>
      </w:r>
      <w:r w:rsidR="00DC0E14" w:rsidRPr="00895E85">
        <w:rPr>
          <w:rStyle w:val="Refdenotaderodap"/>
          <w:rFonts w:ascii="Arial" w:hAnsi="Arial" w:cs="Arial"/>
          <w:sz w:val="24"/>
          <w:szCs w:val="24"/>
        </w:rPr>
        <w:footnoteReference w:id="53"/>
      </w:r>
      <w:r w:rsidR="00895E85">
        <w:rPr>
          <w:rFonts w:ascii="Arial" w:hAnsi="Arial" w:cs="Arial"/>
          <w:sz w:val="24"/>
          <w:szCs w:val="24"/>
        </w:rPr>
        <w:t>. Tal alçada sofre diversas críticas da doutrina, uma vez que a posição de cônjuge é, muitas vezes, mutável</w:t>
      </w:r>
      <w:r w:rsidR="00895E85">
        <w:rPr>
          <w:rStyle w:val="Refdenotaderodap"/>
          <w:rFonts w:ascii="Arial" w:hAnsi="Arial" w:cs="Arial"/>
          <w:sz w:val="24"/>
          <w:szCs w:val="24"/>
        </w:rPr>
        <w:footnoteReference w:id="54"/>
      </w:r>
      <w:r w:rsidR="00895E85">
        <w:rPr>
          <w:rFonts w:ascii="Arial" w:hAnsi="Arial" w:cs="Arial"/>
          <w:sz w:val="24"/>
          <w:szCs w:val="24"/>
        </w:rPr>
        <w:t xml:space="preserve">. </w:t>
      </w:r>
    </w:p>
    <w:p w:rsidR="00C955F7" w:rsidRPr="001160EA" w:rsidRDefault="00C955F7" w:rsidP="00E63780">
      <w:pPr>
        <w:pStyle w:val="parag7"/>
        <w:shd w:val="clear" w:color="auto" w:fill="FFFFFF"/>
        <w:spacing w:before="0" w:beforeAutospacing="0" w:after="0" w:afterAutospacing="0" w:line="360" w:lineRule="auto"/>
        <w:ind w:firstLine="851"/>
        <w:jc w:val="both"/>
        <w:rPr>
          <w:rFonts w:ascii="Arial" w:hAnsi="Arial" w:cs="Arial"/>
        </w:rPr>
      </w:pPr>
      <w:r>
        <w:rPr>
          <w:rFonts w:ascii="Arial" w:hAnsi="Arial" w:cs="Arial"/>
        </w:rPr>
        <w:t xml:space="preserve">Na falta de descendentes e ascendentes, portanto, o cônjuge sobrevivente, integrante da terceira classe, receberá a integralidade dos bens do </w:t>
      </w:r>
      <w:r w:rsidR="00B20183">
        <w:rPr>
          <w:rFonts w:ascii="Arial" w:hAnsi="Arial" w:cs="Arial"/>
          <w:i/>
        </w:rPr>
        <w:t>de cujus</w:t>
      </w:r>
      <w:r>
        <w:rPr>
          <w:rStyle w:val="Refdenotaderodap"/>
          <w:rFonts w:ascii="Arial" w:hAnsi="Arial" w:cs="Arial"/>
        </w:rPr>
        <w:footnoteReference w:id="55"/>
      </w:r>
      <w:r>
        <w:rPr>
          <w:rFonts w:ascii="Arial" w:hAnsi="Arial" w:cs="Arial"/>
        </w:rPr>
        <w:t>.</w:t>
      </w:r>
    </w:p>
    <w:p w:rsidR="00DE0B4E" w:rsidRDefault="007D56CC" w:rsidP="00E63780">
      <w:pPr>
        <w:tabs>
          <w:tab w:val="left" w:pos="4830"/>
        </w:tabs>
        <w:ind w:firstLine="851"/>
        <w:jc w:val="both"/>
        <w:rPr>
          <w:rFonts w:ascii="Arial" w:hAnsi="Arial" w:cs="Arial"/>
          <w:sz w:val="24"/>
          <w:szCs w:val="24"/>
        </w:rPr>
      </w:pPr>
      <w:r>
        <w:rPr>
          <w:rFonts w:ascii="Arial" w:hAnsi="Arial" w:cs="Arial"/>
          <w:sz w:val="24"/>
          <w:szCs w:val="24"/>
        </w:rPr>
        <w:lastRenderedPageBreak/>
        <w:t xml:space="preserve">A </w:t>
      </w:r>
      <w:r w:rsidR="003E3BDA">
        <w:rPr>
          <w:rFonts w:ascii="Arial" w:hAnsi="Arial" w:cs="Arial"/>
          <w:sz w:val="24"/>
          <w:szCs w:val="24"/>
        </w:rPr>
        <w:t>elevação</w:t>
      </w:r>
      <w:r w:rsidR="00CB41A8">
        <w:rPr>
          <w:rFonts w:ascii="Arial" w:hAnsi="Arial" w:cs="Arial"/>
          <w:sz w:val="24"/>
          <w:szCs w:val="24"/>
        </w:rPr>
        <w:t xml:space="preserve"> à categoria de herdeiro necessário</w:t>
      </w:r>
      <w:r w:rsidR="003E3BDA">
        <w:rPr>
          <w:rFonts w:ascii="Arial" w:hAnsi="Arial" w:cs="Arial"/>
          <w:sz w:val="24"/>
          <w:szCs w:val="24"/>
        </w:rPr>
        <w:t xml:space="preserve">, caraterizada por Eduardo de Oliveira Leite como uma </w:t>
      </w:r>
      <w:r w:rsidR="003E3BDA" w:rsidRPr="003E3BDA">
        <w:rPr>
          <w:rFonts w:ascii="Arial" w:hAnsi="Arial" w:cs="Arial"/>
          <w:i/>
          <w:sz w:val="24"/>
          <w:szCs w:val="24"/>
        </w:rPr>
        <w:t>guinada abrupta e ascensão vertiginosa</w:t>
      </w:r>
      <w:r w:rsidR="003E3BDA">
        <w:rPr>
          <w:rStyle w:val="Refdenotaderodap"/>
          <w:rFonts w:ascii="Arial" w:hAnsi="Arial" w:cs="Arial"/>
          <w:i/>
          <w:sz w:val="24"/>
          <w:szCs w:val="24"/>
        </w:rPr>
        <w:footnoteReference w:id="56"/>
      </w:r>
      <w:r w:rsidR="00C804C5">
        <w:rPr>
          <w:rFonts w:ascii="Arial" w:hAnsi="Arial" w:cs="Arial"/>
          <w:i/>
          <w:sz w:val="24"/>
          <w:szCs w:val="24"/>
        </w:rPr>
        <w:t xml:space="preserve">, </w:t>
      </w:r>
      <w:r w:rsidR="00A97624">
        <w:rPr>
          <w:rFonts w:ascii="Arial" w:hAnsi="Arial" w:cs="Arial"/>
          <w:sz w:val="24"/>
          <w:szCs w:val="24"/>
        </w:rPr>
        <w:t>não é absoluta, havendo algumas exceções previstas no arti</w:t>
      </w:r>
      <w:r w:rsidR="00DE0B4E">
        <w:rPr>
          <w:rFonts w:ascii="Arial" w:hAnsi="Arial" w:cs="Arial"/>
          <w:sz w:val="24"/>
          <w:szCs w:val="24"/>
        </w:rPr>
        <w:t>go 1.829, I, do Código Civil, (objeto da discussão do presente tra</w:t>
      </w:r>
      <w:r w:rsidR="00A97624">
        <w:rPr>
          <w:rFonts w:ascii="Arial" w:hAnsi="Arial" w:cs="Arial"/>
          <w:sz w:val="24"/>
          <w:szCs w:val="24"/>
        </w:rPr>
        <w:t>balho):</w:t>
      </w:r>
    </w:p>
    <w:p w:rsidR="00DE0B4E" w:rsidRDefault="00DE0B4E" w:rsidP="00E63780">
      <w:pPr>
        <w:tabs>
          <w:tab w:val="left" w:pos="4830"/>
        </w:tabs>
        <w:ind w:firstLine="851"/>
        <w:jc w:val="both"/>
        <w:rPr>
          <w:rFonts w:ascii="Arial" w:hAnsi="Arial" w:cs="Arial"/>
          <w:sz w:val="24"/>
          <w:szCs w:val="24"/>
        </w:rPr>
      </w:pPr>
    </w:p>
    <w:p w:rsidR="008501C0" w:rsidRDefault="008501C0" w:rsidP="00DE0B4E">
      <w:pPr>
        <w:tabs>
          <w:tab w:val="left" w:pos="4830"/>
        </w:tabs>
        <w:spacing w:line="240" w:lineRule="auto"/>
        <w:ind w:left="2268"/>
        <w:jc w:val="both"/>
        <w:rPr>
          <w:rFonts w:ascii="Arial" w:hAnsi="Arial" w:cs="Arial"/>
          <w:sz w:val="20"/>
          <w:szCs w:val="20"/>
        </w:rPr>
      </w:pPr>
      <w:r>
        <w:rPr>
          <w:rFonts w:ascii="Arial" w:hAnsi="Arial" w:cs="Arial"/>
          <w:sz w:val="20"/>
          <w:szCs w:val="20"/>
        </w:rPr>
        <w:t xml:space="preserve">A sucessão legítima defere-se na ordem seguinte: </w:t>
      </w:r>
    </w:p>
    <w:p w:rsidR="00DE0B4E" w:rsidRDefault="008501C0" w:rsidP="00DE0B4E">
      <w:pPr>
        <w:tabs>
          <w:tab w:val="left" w:pos="4830"/>
        </w:tabs>
        <w:spacing w:line="240" w:lineRule="auto"/>
        <w:ind w:left="2268"/>
        <w:jc w:val="both"/>
        <w:rPr>
          <w:rFonts w:ascii="Arial" w:hAnsi="Arial" w:cs="Arial"/>
          <w:sz w:val="20"/>
          <w:szCs w:val="20"/>
        </w:rPr>
      </w:pPr>
      <w:r>
        <w:rPr>
          <w:rFonts w:ascii="Arial" w:hAnsi="Arial" w:cs="Arial"/>
          <w:sz w:val="20"/>
          <w:szCs w:val="20"/>
        </w:rPr>
        <w:t>I -</w:t>
      </w:r>
      <w:r w:rsidR="00DE0B4E">
        <w:rPr>
          <w:rFonts w:ascii="Arial" w:hAnsi="Arial" w:cs="Arial"/>
          <w:sz w:val="20"/>
          <w:szCs w:val="20"/>
        </w:rPr>
        <w:t xml:space="preserve"> a</w:t>
      </w:r>
      <w:r w:rsidR="00DE0B4E" w:rsidRPr="00BD5CC7">
        <w:rPr>
          <w:rFonts w:ascii="Arial" w:hAnsi="Arial" w:cs="Arial"/>
          <w:iCs/>
          <w:sz w:val="20"/>
          <w:szCs w:val="20"/>
        </w:rPr>
        <w:t>os descendentes, em concorrência com o cônjuge sobrevivente, salvo se casado este com o falecido no regime da comunhão universal, ou no da separação obrigatória de bens (art. 1.640, parágrafo único); ou se, no regime da comunhão parcial, o autor da herança não h</w:t>
      </w:r>
      <w:r w:rsidR="00877318">
        <w:rPr>
          <w:rFonts w:ascii="Arial" w:hAnsi="Arial" w:cs="Arial"/>
          <w:iCs/>
          <w:sz w:val="20"/>
          <w:szCs w:val="20"/>
        </w:rPr>
        <w:t>ouver deixado bens particulares</w:t>
      </w:r>
      <w:r w:rsidR="00DE0B4E" w:rsidRPr="00BD5CC7">
        <w:rPr>
          <w:rFonts w:ascii="Arial" w:hAnsi="Arial" w:cs="Arial"/>
          <w:sz w:val="20"/>
          <w:szCs w:val="20"/>
        </w:rPr>
        <w:t>.</w:t>
      </w:r>
    </w:p>
    <w:p w:rsidR="00DE0B4E" w:rsidRDefault="00DE0B4E" w:rsidP="00D507D3">
      <w:pPr>
        <w:tabs>
          <w:tab w:val="left" w:pos="4830"/>
        </w:tabs>
        <w:jc w:val="both"/>
        <w:rPr>
          <w:rFonts w:ascii="Arial" w:hAnsi="Arial" w:cs="Arial"/>
          <w:sz w:val="24"/>
          <w:szCs w:val="24"/>
        </w:rPr>
      </w:pPr>
    </w:p>
    <w:p w:rsidR="006348EC" w:rsidRPr="00B7198F" w:rsidRDefault="00A97624" w:rsidP="00E63780">
      <w:pPr>
        <w:tabs>
          <w:tab w:val="left" w:pos="4830"/>
        </w:tabs>
        <w:ind w:firstLine="851"/>
        <w:jc w:val="both"/>
        <w:rPr>
          <w:rFonts w:ascii="Arial" w:hAnsi="Arial" w:cs="Arial"/>
          <w:sz w:val="20"/>
          <w:szCs w:val="20"/>
        </w:rPr>
      </w:pPr>
      <w:r>
        <w:rPr>
          <w:rFonts w:ascii="Arial" w:hAnsi="Arial" w:cs="Arial"/>
          <w:sz w:val="24"/>
          <w:szCs w:val="24"/>
        </w:rPr>
        <w:t>As exceções à</w:t>
      </w:r>
      <w:r w:rsidR="008357E5">
        <w:rPr>
          <w:rFonts w:ascii="Arial" w:hAnsi="Arial" w:cs="Arial"/>
          <w:sz w:val="24"/>
          <w:szCs w:val="24"/>
        </w:rPr>
        <w:t xml:space="preserve"> concorrência do cônjuge </w:t>
      </w:r>
      <w:r w:rsidR="00D507D3">
        <w:rPr>
          <w:rFonts w:ascii="Arial" w:hAnsi="Arial" w:cs="Arial"/>
          <w:sz w:val="24"/>
          <w:szCs w:val="24"/>
        </w:rPr>
        <w:t>com os descendentes do falecido</w:t>
      </w:r>
      <w:r>
        <w:rPr>
          <w:rFonts w:ascii="Arial" w:hAnsi="Arial" w:cs="Arial"/>
          <w:sz w:val="24"/>
          <w:szCs w:val="24"/>
        </w:rPr>
        <w:t>, como se vê,</w:t>
      </w:r>
      <w:r w:rsidR="00D507D3">
        <w:rPr>
          <w:rFonts w:ascii="Arial" w:hAnsi="Arial" w:cs="Arial"/>
          <w:sz w:val="24"/>
          <w:szCs w:val="24"/>
        </w:rPr>
        <w:t xml:space="preserve"> </w:t>
      </w:r>
      <w:r w:rsidR="008357E5">
        <w:rPr>
          <w:rFonts w:ascii="Arial" w:hAnsi="Arial" w:cs="Arial"/>
          <w:sz w:val="24"/>
          <w:szCs w:val="24"/>
        </w:rPr>
        <w:t xml:space="preserve">está intimamente vinculada ao regime de </w:t>
      </w:r>
      <w:r w:rsidR="00275602">
        <w:rPr>
          <w:rFonts w:ascii="Arial" w:hAnsi="Arial" w:cs="Arial"/>
          <w:sz w:val="24"/>
          <w:szCs w:val="24"/>
        </w:rPr>
        <w:t xml:space="preserve">bens do casamento. </w:t>
      </w:r>
    </w:p>
    <w:p w:rsidR="00957001" w:rsidRPr="00B763E3" w:rsidRDefault="00CB41A8" w:rsidP="00E63780">
      <w:pPr>
        <w:tabs>
          <w:tab w:val="left" w:pos="4830"/>
        </w:tabs>
        <w:ind w:firstLine="851"/>
        <w:jc w:val="both"/>
        <w:rPr>
          <w:rFonts w:ascii="Arial" w:hAnsi="Arial" w:cs="Arial"/>
          <w:sz w:val="24"/>
          <w:szCs w:val="24"/>
        </w:rPr>
      </w:pPr>
      <w:r>
        <w:rPr>
          <w:rFonts w:ascii="Arial" w:hAnsi="Arial" w:cs="Arial"/>
          <w:sz w:val="24"/>
          <w:szCs w:val="24"/>
        </w:rPr>
        <w:t>O</w:t>
      </w:r>
      <w:r w:rsidR="006348EC">
        <w:rPr>
          <w:rFonts w:ascii="Arial" w:hAnsi="Arial" w:cs="Arial"/>
          <w:sz w:val="24"/>
          <w:szCs w:val="24"/>
        </w:rPr>
        <w:t xml:space="preserve"> artigo 1.829, inciso I, do Código Civil, como visto, exclui da concorrência com os descendentes o cônjuge sobrevivente casado sob o regime da comunhão universal de bens, uma vez que sua meação (bens comuns ao casal), por estar subordinada à regra da universalidade, já representa considerável parte do patrimônio do </w:t>
      </w:r>
      <w:r w:rsidR="006348EC" w:rsidRPr="00970482">
        <w:rPr>
          <w:rFonts w:ascii="Arial" w:hAnsi="Arial" w:cs="Arial"/>
          <w:sz w:val="24"/>
          <w:szCs w:val="24"/>
        </w:rPr>
        <w:t>cônjuge</w:t>
      </w:r>
      <w:r w:rsidR="006348EC">
        <w:rPr>
          <w:rStyle w:val="Refdenotaderodap"/>
          <w:rFonts w:ascii="Arial" w:hAnsi="Arial" w:cs="Arial"/>
          <w:sz w:val="24"/>
          <w:szCs w:val="24"/>
        </w:rPr>
        <w:footnoteReference w:id="57"/>
      </w:r>
      <w:r w:rsidR="006348EC" w:rsidRPr="00970482">
        <w:rPr>
          <w:rFonts w:ascii="Arial" w:hAnsi="Arial" w:cs="Arial"/>
          <w:sz w:val="24"/>
          <w:szCs w:val="24"/>
        </w:rPr>
        <w:t>.</w:t>
      </w:r>
      <w:r w:rsidR="00957001">
        <w:rPr>
          <w:rFonts w:ascii="Arial" w:hAnsi="Arial" w:cs="Arial"/>
          <w:sz w:val="24"/>
          <w:szCs w:val="24"/>
        </w:rPr>
        <w:t xml:space="preserve"> </w:t>
      </w:r>
    </w:p>
    <w:p w:rsidR="0033403A" w:rsidRPr="004D0DBD" w:rsidRDefault="00C45077" w:rsidP="00E63780">
      <w:pPr>
        <w:tabs>
          <w:tab w:val="left" w:pos="4830"/>
        </w:tabs>
        <w:ind w:firstLine="851"/>
        <w:jc w:val="both"/>
        <w:rPr>
          <w:rFonts w:ascii="Arial" w:hAnsi="Arial" w:cs="Arial"/>
          <w:sz w:val="24"/>
          <w:szCs w:val="24"/>
        </w:rPr>
      </w:pPr>
      <w:r>
        <w:rPr>
          <w:rFonts w:ascii="Arial" w:hAnsi="Arial" w:cs="Arial"/>
          <w:sz w:val="24"/>
          <w:szCs w:val="24"/>
        </w:rPr>
        <w:t>No caso de o casamento ter sido celebrado sob o regime da comunhão parcial de bens, a meaç</w:t>
      </w:r>
      <w:r w:rsidR="00364816">
        <w:rPr>
          <w:rFonts w:ascii="Arial" w:hAnsi="Arial" w:cs="Arial"/>
          <w:sz w:val="24"/>
          <w:szCs w:val="24"/>
        </w:rPr>
        <w:t xml:space="preserve">ão </w:t>
      </w:r>
      <w:r>
        <w:rPr>
          <w:rFonts w:ascii="Arial" w:hAnsi="Arial" w:cs="Arial"/>
          <w:sz w:val="24"/>
          <w:szCs w:val="24"/>
        </w:rPr>
        <w:t xml:space="preserve">corresponde </w:t>
      </w:r>
      <w:r w:rsidR="00364816">
        <w:rPr>
          <w:rFonts w:ascii="Arial" w:hAnsi="Arial" w:cs="Arial"/>
          <w:sz w:val="24"/>
          <w:szCs w:val="24"/>
        </w:rPr>
        <w:t xml:space="preserve">à metade dos bens adquiridos durante </w:t>
      </w:r>
      <w:r w:rsidR="001D1B18">
        <w:rPr>
          <w:rFonts w:ascii="Arial" w:hAnsi="Arial" w:cs="Arial"/>
          <w:sz w:val="24"/>
          <w:szCs w:val="24"/>
        </w:rPr>
        <w:t xml:space="preserve">o casamento. </w:t>
      </w:r>
      <w:r w:rsidR="007F3F3E">
        <w:rPr>
          <w:rFonts w:ascii="Arial" w:hAnsi="Arial" w:cs="Arial"/>
          <w:sz w:val="24"/>
          <w:szCs w:val="24"/>
        </w:rPr>
        <w:t xml:space="preserve">O que resta, portanto, para compor a herança, são a meação do falecido e seus bens particulares. </w:t>
      </w:r>
      <w:r w:rsidR="0033403A">
        <w:rPr>
          <w:rFonts w:ascii="Arial" w:hAnsi="Arial" w:cs="Arial"/>
          <w:sz w:val="24"/>
          <w:szCs w:val="24"/>
        </w:rPr>
        <w:t xml:space="preserve">Nesse sentido, há vasta divergência doutrinária a respeito de quais bens poderiam ser objeto de concorrência entre cônjuge sobrevivente e descendentes do </w:t>
      </w:r>
      <w:r w:rsidR="004D0DBD">
        <w:rPr>
          <w:rFonts w:ascii="Arial" w:hAnsi="Arial" w:cs="Arial"/>
          <w:i/>
          <w:sz w:val="24"/>
          <w:szCs w:val="24"/>
        </w:rPr>
        <w:t>de cujus</w:t>
      </w:r>
      <w:r w:rsidR="004D0DBD">
        <w:rPr>
          <w:rFonts w:ascii="Arial" w:hAnsi="Arial" w:cs="Arial"/>
          <w:sz w:val="24"/>
          <w:szCs w:val="24"/>
        </w:rPr>
        <w:t>.</w:t>
      </w:r>
    </w:p>
    <w:p w:rsidR="006348EC" w:rsidRPr="004D0DBD" w:rsidRDefault="0033403A" w:rsidP="00E63780">
      <w:pPr>
        <w:tabs>
          <w:tab w:val="left" w:pos="4830"/>
        </w:tabs>
        <w:ind w:firstLine="851"/>
        <w:jc w:val="both"/>
        <w:rPr>
          <w:rFonts w:ascii="Arial" w:hAnsi="Arial" w:cs="Arial"/>
          <w:sz w:val="24"/>
          <w:szCs w:val="24"/>
        </w:rPr>
      </w:pPr>
      <w:r>
        <w:rPr>
          <w:rFonts w:ascii="Arial" w:hAnsi="Arial" w:cs="Arial"/>
          <w:sz w:val="24"/>
          <w:szCs w:val="24"/>
        </w:rPr>
        <w:t>Segundo a doutrina majoritária</w:t>
      </w:r>
      <w:r w:rsidR="00C946F4">
        <w:rPr>
          <w:rStyle w:val="Refdenotaderodap"/>
          <w:rFonts w:ascii="Arial" w:hAnsi="Arial" w:cs="Arial"/>
          <w:sz w:val="24"/>
          <w:szCs w:val="24"/>
        </w:rPr>
        <w:footnoteReference w:id="58"/>
      </w:r>
      <w:r>
        <w:rPr>
          <w:rFonts w:ascii="Arial" w:hAnsi="Arial" w:cs="Arial"/>
          <w:sz w:val="24"/>
          <w:szCs w:val="24"/>
        </w:rPr>
        <w:t xml:space="preserve"> – adotada no presente trabalho a título de melhor elucidação do tema –, </w:t>
      </w:r>
      <w:r w:rsidR="00891A6B">
        <w:rPr>
          <w:rFonts w:ascii="Arial" w:hAnsi="Arial" w:cs="Arial"/>
          <w:sz w:val="24"/>
          <w:szCs w:val="24"/>
        </w:rPr>
        <w:t xml:space="preserve">a herança do </w:t>
      </w:r>
      <w:r w:rsidR="002F3E71">
        <w:rPr>
          <w:rFonts w:ascii="Arial" w:hAnsi="Arial" w:cs="Arial"/>
          <w:sz w:val="24"/>
          <w:szCs w:val="24"/>
        </w:rPr>
        <w:t>consorte</w:t>
      </w:r>
      <w:r w:rsidR="00891A6B">
        <w:rPr>
          <w:rFonts w:ascii="Arial" w:hAnsi="Arial" w:cs="Arial"/>
          <w:sz w:val="24"/>
          <w:szCs w:val="24"/>
        </w:rPr>
        <w:t xml:space="preserve"> </w:t>
      </w:r>
      <w:r w:rsidR="009E0829">
        <w:rPr>
          <w:rFonts w:ascii="Arial" w:hAnsi="Arial" w:cs="Arial"/>
          <w:sz w:val="24"/>
          <w:szCs w:val="24"/>
        </w:rPr>
        <w:t xml:space="preserve">sobrevivente casado sob o </w:t>
      </w:r>
      <w:r w:rsidR="009E0829">
        <w:rPr>
          <w:rFonts w:ascii="Arial" w:hAnsi="Arial" w:cs="Arial"/>
          <w:sz w:val="24"/>
          <w:szCs w:val="24"/>
        </w:rPr>
        <w:lastRenderedPageBreak/>
        <w:t xml:space="preserve">regime da comunhão parcial </w:t>
      </w:r>
      <w:r w:rsidR="00CE5256">
        <w:rPr>
          <w:rFonts w:ascii="Arial" w:hAnsi="Arial" w:cs="Arial"/>
          <w:sz w:val="24"/>
          <w:szCs w:val="24"/>
        </w:rPr>
        <w:t>recai</w:t>
      </w:r>
      <w:r w:rsidR="00C50118">
        <w:rPr>
          <w:rFonts w:ascii="Arial" w:hAnsi="Arial" w:cs="Arial"/>
          <w:sz w:val="24"/>
          <w:szCs w:val="24"/>
        </w:rPr>
        <w:t>, em concorrência com os descendentes,</w:t>
      </w:r>
      <w:r w:rsidR="00891A6B">
        <w:rPr>
          <w:rFonts w:ascii="Arial" w:hAnsi="Arial" w:cs="Arial"/>
          <w:sz w:val="24"/>
          <w:szCs w:val="24"/>
        </w:rPr>
        <w:t xml:space="preserve"> sobre </w:t>
      </w:r>
      <w:r w:rsidR="000D6CAE">
        <w:rPr>
          <w:rFonts w:ascii="Arial" w:hAnsi="Arial" w:cs="Arial"/>
          <w:sz w:val="24"/>
          <w:szCs w:val="24"/>
        </w:rPr>
        <w:t>os</w:t>
      </w:r>
      <w:r w:rsidR="00BC25DC">
        <w:rPr>
          <w:rFonts w:ascii="Arial" w:hAnsi="Arial" w:cs="Arial"/>
          <w:sz w:val="24"/>
          <w:szCs w:val="24"/>
        </w:rPr>
        <w:t xml:space="preserve"> bens particulares</w:t>
      </w:r>
      <w:r w:rsidR="000D6CAE">
        <w:rPr>
          <w:rFonts w:ascii="Arial" w:hAnsi="Arial" w:cs="Arial"/>
          <w:sz w:val="24"/>
          <w:szCs w:val="24"/>
        </w:rPr>
        <w:t xml:space="preserve"> do falecido</w:t>
      </w:r>
      <w:r w:rsidR="00167575">
        <w:rPr>
          <w:rFonts w:ascii="Arial" w:hAnsi="Arial" w:cs="Arial"/>
          <w:sz w:val="24"/>
          <w:szCs w:val="24"/>
        </w:rPr>
        <w:t xml:space="preserve">, limitando a meação do </w:t>
      </w:r>
      <w:r w:rsidR="00167575">
        <w:rPr>
          <w:rFonts w:ascii="Arial" w:hAnsi="Arial" w:cs="Arial"/>
          <w:i/>
          <w:sz w:val="24"/>
          <w:szCs w:val="24"/>
        </w:rPr>
        <w:t>de cujus</w:t>
      </w:r>
      <w:r w:rsidR="005968E5">
        <w:rPr>
          <w:rFonts w:ascii="Arial" w:hAnsi="Arial" w:cs="Arial"/>
          <w:sz w:val="24"/>
          <w:szCs w:val="24"/>
        </w:rPr>
        <w:t xml:space="preserve"> </w:t>
      </w:r>
      <w:r w:rsidR="00167575">
        <w:rPr>
          <w:rFonts w:ascii="Arial" w:hAnsi="Arial" w:cs="Arial"/>
          <w:sz w:val="24"/>
          <w:szCs w:val="24"/>
        </w:rPr>
        <w:t>à partilha apenas entre os descen</w:t>
      </w:r>
      <w:r w:rsidR="004B45F2">
        <w:rPr>
          <w:rFonts w:ascii="Arial" w:hAnsi="Arial" w:cs="Arial"/>
          <w:sz w:val="24"/>
          <w:szCs w:val="24"/>
        </w:rPr>
        <w:t>de</w:t>
      </w:r>
      <w:r w:rsidR="003951AD">
        <w:rPr>
          <w:rFonts w:ascii="Arial" w:hAnsi="Arial" w:cs="Arial"/>
          <w:sz w:val="24"/>
          <w:szCs w:val="24"/>
        </w:rPr>
        <w:t>n</w:t>
      </w:r>
      <w:r w:rsidR="00167575">
        <w:rPr>
          <w:rFonts w:ascii="Arial" w:hAnsi="Arial" w:cs="Arial"/>
          <w:sz w:val="24"/>
          <w:szCs w:val="24"/>
        </w:rPr>
        <w:t xml:space="preserve">tes. </w:t>
      </w:r>
      <w:r w:rsidR="005968E5">
        <w:rPr>
          <w:rFonts w:ascii="Arial" w:hAnsi="Arial" w:cs="Arial"/>
          <w:sz w:val="24"/>
          <w:szCs w:val="24"/>
        </w:rPr>
        <w:t>Por tal razão, o dispositivo legal ora analisado prevê que, se o falecido não tiver deixado bens particulares</w:t>
      </w:r>
      <w:r w:rsidR="003951AD">
        <w:rPr>
          <w:rStyle w:val="Refdenotaderodap"/>
          <w:rFonts w:ascii="Arial" w:hAnsi="Arial" w:cs="Arial"/>
          <w:sz w:val="24"/>
          <w:szCs w:val="24"/>
        </w:rPr>
        <w:footnoteReference w:id="59"/>
      </w:r>
      <w:r w:rsidR="00363AAA">
        <w:rPr>
          <w:rFonts w:ascii="Arial" w:hAnsi="Arial" w:cs="Arial"/>
          <w:sz w:val="24"/>
          <w:szCs w:val="24"/>
        </w:rPr>
        <w:t xml:space="preserve"> - e</w:t>
      </w:r>
      <w:r w:rsidR="007B16B2">
        <w:rPr>
          <w:rFonts w:ascii="Arial" w:hAnsi="Arial" w:cs="Arial"/>
          <w:sz w:val="24"/>
          <w:szCs w:val="24"/>
        </w:rPr>
        <w:t>,</w:t>
      </w:r>
      <w:r w:rsidR="00363AAA">
        <w:rPr>
          <w:rFonts w:ascii="Arial" w:hAnsi="Arial" w:cs="Arial"/>
          <w:sz w:val="24"/>
          <w:szCs w:val="24"/>
        </w:rPr>
        <w:t xml:space="preserve"> </w:t>
      </w:r>
      <w:r w:rsidR="007B16B2">
        <w:rPr>
          <w:rFonts w:ascii="Arial" w:hAnsi="Arial" w:cs="Arial"/>
          <w:sz w:val="24"/>
          <w:szCs w:val="24"/>
        </w:rPr>
        <w:t>por corolário, só houver sobrado sua antiga meação –</w:t>
      </w:r>
      <w:r w:rsidR="005968E5">
        <w:rPr>
          <w:rFonts w:ascii="Arial" w:hAnsi="Arial" w:cs="Arial"/>
          <w:sz w:val="24"/>
          <w:szCs w:val="24"/>
        </w:rPr>
        <w:t xml:space="preserve">, </w:t>
      </w:r>
      <w:r w:rsidR="0044655E">
        <w:rPr>
          <w:rFonts w:ascii="Arial" w:hAnsi="Arial" w:cs="Arial"/>
          <w:sz w:val="24"/>
          <w:szCs w:val="24"/>
        </w:rPr>
        <w:t>o cônjuge não terá direito a concorrer</w:t>
      </w:r>
      <w:r w:rsidR="005968E5">
        <w:rPr>
          <w:rFonts w:ascii="Arial" w:hAnsi="Arial" w:cs="Arial"/>
          <w:sz w:val="24"/>
          <w:szCs w:val="24"/>
        </w:rPr>
        <w:t xml:space="preserve"> à herança</w:t>
      </w:r>
      <w:r w:rsidR="004B45F2">
        <w:rPr>
          <w:rStyle w:val="Refdenotaderodap"/>
          <w:rFonts w:ascii="Arial" w:hAnsi="Arial" w:cs="Arial"/>
          <w:sz w:val="24"/>
          <w:szCs w:val="24"/>
        </w:rPr>
        <w:footnoteReference w:id="60"/>
      </w:r>
      <w:r w:rsidR="006348EC">
        <w:rPr>
          <w:rFonts w:ascii="Arial" w:hAnsi="Arial" w:cs="Arial"/>
          <w:sz w:val="24"/>
          <w:szCs w:val="24"/>
        </w:rPr>
        <w:t xml:space="preserve">, </w:t>
      </w:r>
      <w:r w:rsidR="00CB41A8">
        <w:rPr>
          <w:rFonts w:ascii="Arial" w:hAnsi="Arial" w:cs="Arial"/>
          <w:sz w:val="24"/>
          <w:szCs w:val="24"/>
        </w:rPr>
        <w:t>porquanto</w:t>
      </w:r>
      <w:r w:rsidR="006348EC">
        <w:rPr>
          <w:rFonts w:ascii="Arial" w:hAnsi="Arial" w:cs="Arial"/>
          <w:sz w:val="24"/>
          <w:szCs w:val="24"/>
        </w:rPr>
        <w:t xml:space="preserve"> não seria justo que, além de sua metade advinda do casamento, o cônjuge sobrevivente também recebesse parte da meação </w:t>
      </w:r>
      <w:r w:rsidR="00CB41A8">
        <w:rPr>
          <w:rFonts w:ascii="Arial" w:hAnsi="Arial" w:cs="Arial"/>
          <w:sz w:val="24"/>
          <w:szCs w:val="24"/>
        </w:rPr>
        <w:t>pertencente ao</w:t>
      </w:r>
      <w:r w:rsidR="006348EC">
        <w:rPr>
          <w:rFonts w:ascii="Arial" w:hAnsi="Arial" w:cs="Arial"/>
          <w:sz w:val="24"/>
          <w:szCs w:val="24"/>
        </w:rPr>
        <w:t xml:space="preserve"> </w:t>
      </w:r>
      <w:r w:rsidR="006348EC">
        <w:rPr>
          <w:rFonts w:ascii="Arial" w:hAnsi="Arial" w:cs="Arial"/>
          <w:i/>
          <w:sz w:val="24"/>
          <w:szCs w:val="24"/>
        </w:rPr>
        <w:t>de cujus</w:t>
      </w:r>
      <w:r w:rsidR="004D0DBD">
        <w:rPr>
          <w:rStyle w:val="Refdenotaderodap"/>
          <w:rFonts w:ascii="Arial" w:hAnsi="Arial" w:cs="Arial"/>
          <w:i/>
          <w:sz w:val="24"/>
          <w:szCs w:val="24"/>
        </w:rPr>
        <w:footnoteReference w:id="61"/>
      </w:r>
      <w:r w:rsidR="006348EC">
        <w:rPr>
          <w:rFonts w:ascii="Arial" w:hAnsi="Arial" w:cs="Arial"/>
          <w:i/>
          <w:sz w:val="24"/>
          <w:szCs w:val="24"/>
        </w:rPr>
        <w:t>.</w:t>
      </w:r>
    </w:p>
    <w:p w:rsidR="00ED12BD" w:rsidRDefault="003D7560" w:rsidP="00E63780">
      <w:pPr>
        <w:tabs>
          <w:tab w:val="left" w:pos="4830"/>
        </w:tabs>
        <w:ind w:firstLine="851"/>
        <w:jc w:val="both"/>
        <w:rPr>
          <w:rFonts w:ascii="Arial" w:hAnsi="Arial" w:cs="Arial"/>
          <w:sz w:val="24"/>
          <w:szCs w:val="24"/>
        </w:rPr>
      </w:pPr>
      <w:r>
        <w:rPr>
          <w:rFonts w:ascii="Arial" w:hAnsi="Arial" w:cs="Arial"/>
          <w:sz w:val="24"/>
          <w:szCs w:val="24"/>
        </w:rPr>
        <w:t>O</w:t>
      </w:r>
      <w:r w:rsidR="009A59AC">
        <w:rPr>
          <w:rFonts w:ascii="Arial" w:hAnsi="Arial" w:cs="Arial"/>
          <w:sz w:val="24"/>
          <w:szCs w:val="24"/>
        </w:rPr>
        <w:t xml:space="preserve"> citado</w:t>
      </w:r>
      <w:r w:rsidR="00A96CA7">
        <w:rPr>
          <w:rFonts w:ascii="Arial" w:hAnsi="Arial" w:cs="Arial"/>
          <w:sz w:val="24"/>
          <w:szCs w:val="24"/>
        </w:rPr>
        <w:t xml:space="preserve"> artigo 1.829, inciso I, do Código Civil, também exclui da concorrência </w:t>
      </w:r>
      <w:r w:rsidR="009A59AC">
        <w:rPr>
          <w:rFonts w:ascii="Arial" w:hAnsi="Arial" w:cs="Arial"/>
          <w:sz w:val="24"/>
          <w:szCs w:val="24"/>
        </w:rPr>
        <w:t xml:space="preserve">à herança </w:t>
      </w:r>
      <w:r w:rsidR="00A96CA7">
        <w:rPr>
          <w:rFonts w:ascii="Arial" w:hAnsi="Arial" w:cs="Arial"/>
          <w:sz w:val="24"/>
          <w:szCs w:val="24"/>
        </w:rPr>
        <w:t xml:space="preserve">o cônjuge supérstite casado sob </w:t>
      </w:r>
      <w:r w:rsidR="009A59AC">
        <w:rPr>
          <w:rFonts w:ascii="Arial" w:hAnsi="Arial" w:cs="Arial"/>
          <w:sz w:val="24"/>
          <w:szCs w:val="24"/>
        </w:rPr>
        <w:t>o</w:t>
      </w:r>
      <w:r w:rsidR="001D1B18">
        <w:rPr>
          <w:rFonts w:ascii="Arial" w:hAnsi="Arial" w:cs="Arial"/>
          <w:sz w:val="24"/>
          <w:szCs w:val="24"/>
        </w:rPr>
        <w:t xml:space="preserve"> regime de separaç</w:t>
      </w:r>
      <w:r w:rsidR="00D507D3">
        <w:rPr>
          <w:rFonts w:ascii="Arial" w:hAnsi="Arial" w:cs="Arial"/>
          <w:sz w:val="24"/>
          <w:szCs w:val="24"/>
        </w:rPr>
        <w:t xml:space="preserve">ão </w:t>
      </w:r>
      <w:r w:rsidR="0001523A">
        <w:rPr>
          <w:rFonts w:ascii="Arial" w:hAnsi="Arial" w:cs="Arial"/>
          <w:sz w:val="24"/>
          <w:szCs w:val="24"/>
        </w:rPr>
        <w:t>obrigatória</w:t>
      </w:r>
      <w:r w:rsidR="00D85F7D">
        <w:rPr>
          <w:rFonts w:ascii="Arial" w:hAnsi="Arial" w:cs="Arial"/>
          <w:sz w:val="24"/>
          <w:szCs w:val="24"/>
        </w:rPr>
        <w:t xml:space="preserve"> </w:t>
      </w:r>
      <w:r w:rsidR="00D507D3">
        <w:rPr>
          <w:rFonts w:ascii="Arial" w:hAnsi="Arial" w:cs="Arial"/>
          <w:sz w:val="24"/>
          <w:szCs w:val="24"/>
        </w:rPr>
        <w:t>de bens</w:t>
      </w:r>
      <w:r w:rsidR="00F53E2F">
        <w:rPr>
          <w:rFonts w:ascii="Arial" w:hAnsi="Arial" w:cs="Arial"/>
          <w:sz w:val="24"/>
          <w:szCs w:val="24"/>
        </w:rPr>
        <w:t xml:space="preserve">, sem minuciar, contudo, se tal </w:t>
      </w:r>
      <w:r w:rsidR="009A59AC">
        <w:rPr>
          <w:rFonts w:ascii="Arial" w:hAnsi="Arial" w:cs="Arial"/>
          <w:sz w:val="24"/>
          <w:szCs w:val="24"/>
        </w:rPr>
        <w:t>hipótese</w:t>
      </w:r>
      <w:r w:rsidR="00F53E2F">
        <w:rPr>
          <w:rFonts w:ascii="Arial" w:hAnsi="Arial" w:cs="Arial"/>
          <w:sz w:val="24"/>
          <w:szCs w:val="24"/>
        </w:rPr>
        <w:t xml:space="preserve"> </w:t>
      </w:r>
      <w:r w:rsidR="00363AAA">
        <w:rPr>
          <w:rFonts w:ascii="Arial" w:hAnsi="Arial" w:cs="Arial"/>
          <w:sz w:val="24"/>
          <w:szCs w:val="24"/>
        </w:rPr>
        <w:t>abarcaria</w:t>
      </w:r>
      <w:r w:rsidR="009A59AC">
        <w:rPr>
          <w:rFonts w:ascii="Arial" w:hAnsi="Arial" w:cs="Arial"/>
          <w:sz w:val="24"/>
          <w:szCs w:val="24"/>
        </w:rPr>
        <w:t xml:space="preserve"> também a separação</w:t>
      </w:r>
      <w:r w:rsidR="005968E5">
        <w:rPr>
          <w:rFonts w:ascii="Arial" w:hAnsi="Arial" w:cs="Arial"/>
          <w:sz w:val="24"/>
          <w:szCs w:val="24"/>
        </w:rPr>
        <w:t xml:space="preserve"> </w:t>
      </w:r>
      <w:r w:rsidR="00F53E2F">
        <w:rPr>
          <w:rFonts w:ascii="Arial" w:hAnsi="Arial" w:cs="Arial"/>
          <w:sz w:val="24"/>
          <w:szCs w:val="24"/>
        </w:rPr>
        <w:t>convencional</w:t>
      </w:r>
      <w:r w:rsidR="009A59AC">
        <w:rPr>
          <w:rFonts w:ascii="Arial" w:hAnsi="Arial" w:cs="Arial"/>
          <w:sz w:val="24"/>
          <w:szCs w:val="24"/>
        </w:rPr>
        <w:t xml:space="preserve">. </w:t>
      </w:r>
      <w:r w:rsidR="00693FC2">
        <w:rPr>
          <w:rFonts w:ascii="Arial" w:hAnsi="Arial" w:cs="Arial"/>
          <w:sz w:val="24"/>
          <w:szCs w:val="24"/>
        </w:rPr>
        <w:t>Segundo Maria Berenice Dias</w:t>
      </w:r>
      <w:r w:rsidR="00693FC2">
        <w:rPr>
          <w:rStyle w:val="Refdenotaderodap"/>
          <w:rFonts w:ascii="Arial" w:hAnsi="Arial" w:cs="Arial"/>
          <w:sz w:val="24"/>
          <w:szCs w:val="24"/>
        </w:rPr>
        <w:footnoteReference w:id="62"/>
      </w:r>
      <w:r w:rsidR="00693FC2">
        <w:rPr>
          <w:rFonts w:ascii="Arial" w:hAnsi="Arial" w:cs="Arial"/>
          <w:sz w:val="24"/>
          <w:szCs w:val="24"/>
        </w:rPr>
        <w:t>, a expressão “separação obrigatória de bens” não se refere apenas à separação legal, mas também abarca a separação convencional de bens.</w:t>
      </w:r>
    </w:p>
    <w:p w:rsidR="00971F03" w:rsidRDefault="00EC3E45" w:rsidP="00E63780">
      <w:pPr>
        <w:tabs>
          <w:tab w:val="left" w:pos="4830"/>
        </w:tabs>
        <w:ind w:firstLine="851"/>
        <w:jc w:val="both"/>
        <w:rPr>
          <w:rFonts w:ascii="Arial" w:hAnsi="Arial" w:cs="Arial"/>
          <w:sz w:val="24"/>
          <w:szCs w:val="24"/>
        </w:rPr>
      </w:pPr>
      <w:r>
        <w:rPr>
          <w:rFonts w:ascii="Arial" w:hAnsi="Arial" w:cs="Arial"/>
          <w:sz w:val="24"/>
          <w:szCs w:val="24"/>
        </w:rPr>
        <w:t>A fim de incitar o debate, cumpre transcrever o</w:t>
      </w:r>
      <w:r w:rsidR="00363AAA">
        <w:rPr>
          <w:rFonts w:ascii="Arial" w:hAnsi="Arial" w:cs="Arial"/>
          <w:sz w:val="24"/>
          <w:szCs w:val="24"/>
        </w:rPr>
        <w:t xml:space="preserve"> idêntico</w:t>
      </w:r>
      <w:r>
        <w:rPr>
          <w:rFonts w:ascii="Arial" w:hAnsi="Arial" w:cs="Arial"/>
          <w:sz w:val="24"/>
          <w:szCs w:val="24"/>
        </w:rPr>
        <w:t xml:space="preserve"> entendimento de</w:t>
      </w:r>
      <w:r w:rsidR="00971F03">
        <w:rPr>
          <w:rFonts w:ascii="Arial" w:hAnsi="Arial" w:cs="Arial"/>
          <w:sz w:val="24"/>
          <w:szCs w:val="24"/>
        </w:rPr>
        <w:t xml:space="preserve"> Miguel Reale:</w:t>
      </w:r>
    </w:p>
    <w:p w:rsidR="00971F03" w:rsidRDefault="00971F03" w:rsidP="00C06C05">
      <w:pPr>
        <w:tabs>
          <w:tab w:val="left" w:pos="4830"/>
        </w:tabs>
        <w:ind w:firstLine="709"/>
        <w:jc w:val="both"/>
        <w:rPr>
          <w:rFonts w:ascii="Arial" w:hAnsi="Arial" w:cs="Arial"/>
          <w:sz w:val="24"/>
          <w:szCs w:val="24"/>
        </w:rPr>
      </w:pPr>
    </w:p>
    <w:p w:rsidR="00971F03" w:rsidRPr="00971F03" w:rsidRDefault="00971F03" w:rsidP="00971F03">
      <w:pPr>
        <w:autoSpaceDE w:val="0"/>
        <w:autoSpaceDN w:val="0"/>
        <w:adjustRightInd w:val="0"/>
        <w:spacing w:line="240" w:lineRule="auto"/>
        <w:ind w:left="2268"/>
        <w:jc w:val="both"/>
        <w:rPr>
          <w:rFonts w:ascii="Arial" w:hAnsi="Arial" w:cs="Arial"/>
          <w:sz w:val="20"/>
          <w:szCs w:val="20"/>
        </w:rPr>
      </w:pPr>
      <w:r w:rsidRPr="0048271E">
        <w:rPr>
          <w:rFonts w:ascii="Arial" w:hAnsi="Arial" w:cs="Arial"/>
          <w:iCs/>
          <w:sz w:val="20"/>
          <w:szCs w:val="20"/>
        </w:rPr>
        <w:t xml:space="preserve">Duas são as hipóteses de separação obrigatória: uma delas é a prevista no parágrafo único do art. 1.641, abrangendo vários casos; a outra resulta da estipulação feita pelos nubentes, antes do casamento, optando pela separação de bens. A obrigatoriedade da separação de bens é uma consequência necessária do pacto concluído pelos nubentes, não sendo a </w:t>
      </w:r>
      <w:r w:rsidRPr="0048271E">
        <w:rPr>
          <w:rFonts w:ascii="Arial" w:hAnsi="Arial" w:cs="Arial"/>
          <w:iCs/>
          <w:sz w:val="20"/>
          <w:szCs w:val="20"/>
        </w:rPr>
        <w:lastRenderedPageBreak/>
        <w:t>expressão 'separação obrigatória' aplicável somente nos casos relacionados no p</w:t>
      </w:r>
      <w:r>
        <w:rPr>
          <w:rFonts w:ascii="Arial" w:hAnsi="Arial" w:cs="Arial"/>
          <w:iCs/>
          <w:sz w:val="20"/>
          <w:szCs w:val="20"/>
        </w:rPr>
        <w:t>arágrafo único do art. 1.641</w:t>
      </w:r>
      <w:r>
        <w:rPr>
          <w:rStyle w:val="Refdenotaderodap"/>
          <w:rFonts w:ascii="Arial" w:hAnsi="Arial" w:cs="Arial"/>
          <w:iCs/>
          <w:sz w:val="20"/>
          <w:szCs w:val="20"/>
        </w:rPr>
        <w:footnoteReference w:id="63"/>
      </w:r>
      <w:r>
        <w:rPr>
          <w:rFonts w:ascii="Arial" w:hAnsi="Arial" w:cs="Arial"/>
          <w:iCs/>
          <w:sz w:val="20"/>
          <w:szCs w:val="20"/>
        </w:rPr>
        <w:t>.</w:t>
      </w:r>
    </w:p>
    <w:p w:rsidR="00693FC2" w:rsidRDefault="00693FC2" w:rsidP="00E63780">
      <w:pPr>
        <w:tabs>
          <w:tab w:val="left" w:pos="4830"/>
        </w:tabs>
        <w:ind w:firstLine="851"/>
        <w:jc w:val="both"/>
        <w:rPr>
          <w:rFonts w:ascii="Arial" w:hAnsi="Arial" w:cs="Arial"/>
          <w:sz w:val="24"/>
          <w:szCs w:val="24"/>
        </w:rPr>
      </w:pPr>
    </w:p>
    <w:p w:rsidR="003E7163" w:rsidRDefault="00E866D9" w:rsidP="00E63780">
      <w:pPr>
        <w:tabs>
          <w:tab w:val="left" w:pos="4830"/>
        </w:tabs>
        <w:ind w:firstLine="851"/>
        <w:jc w:val="both"/>
        <w:rPr>
          <w:rFonts w:ascii="Arial" w:hAnsi="Arial" w:cs="Arial"/>
          <w:sz w:val="24"/>
          <w:szCs w:val="24"/>
        </w:rPr>
      </w:pPr>
      <w:r>
        <w:rPr>
          <w:rFonts w:ascii="Arial" w:hAnsi="Arial" w:cs="Arial"/>
          <w:sz w:val="24"/>
          <w:szCs w:val="24"/>
        </w:rPr>
        <w:t xml:space="preserve">Na contramão desse entendimento, </w:t>
      </w:r>
      <w:r w:rsidR="00C06107">
        <w:rPr>
          <w:rFonts w:ascii="Arial" w:hAnsi="Arial" w:cs="Arial"/>
          <w:sz w:val="24"/>
          <w:szCs w:val="24"/>
        </w:rPr>
        <w:t xml:space="preserve">também partilhado por </w:t>
      </w:r>
      <w:r w:rsidR="00132F27">
        <w:rPr>
          <w:rFonts w:ascii="Arial" w:hAnsi="Arial" w:cs="Arial"/>
          <w:sz w:val="24"/>
          <w:szCs w:val="24"/>
        </w:rPr>
        <w:t xml:space="preserve">Eduardo de Oliveira Leite </w:t>
      </w:r>
      <w:r w:rsidR="00A921C3">
        <w:rPr>
          <w:rFonts w:ascii="Arial" w:hAnsi="Arial" w:cs="Arial"/>
          <w:sz w:val="24"/>
          <w:szCs w:val="24"/>
        </w:rPr>
        <w:t>e</w:t>
      </w:r>
      <w:r w:rsidR="00C06107">
        <w:rPr>
          <w:rFonts w:ascii="Arial" w:hAnsi="Arial" w:cs="Arial"/>
          <w:sz w:val="24"/>
          <w:szCs w:val="24"/>
        </w:rPr>
        <w:t xml:space="preserve"> </w:t>
      </w:r>
      <w:r w:rsidR="00A921C3">
        <w:rPr>
          <w:rFonts w:ascii="Arial" w:hAnsi="Arial" w:cs="Arial"/>
          <w:sz w:val="24"/>
          <w:szCs w:val="24"/>
        </w:rPr>
        <w:t xml:space="preserve">Maria Berenice Dias, </w:t>
      </w:r>
      <w:r>
        <w:rPr>
          <w:rFonts w:ascii="Arial" w:hAnsi="Arial" w:cs="Arial"/>
          <w:sz w:val="24"/>
          <w:szCs w:val="24"/>
        </w:rPr>
        <w:t xml:space="preserve">está a compreensão de </w:t>
      </w:r>
      <w:r w:rsidR="00046C4F">
        <w:rPr>
          <w:rFonts w:ascii="Arial" w:hAnsi="Arial" w:cs="Arial"/>
          <w:sz w:val="24"/>
          <w:szCs w:val="24"/>
        </w:rPr>
        <w:t>Mário Luiz Delgado, Silvio Venosa, Flávio Tartuce e Caio Mário da Silva Pereira.</w:t>
      </w:r>
    </w:p>
    <w:p w:rsidR="006A6FA6" w:rsidRDefault="007F1654" w:rsidP="00E63780">
      <w:pPr>
        <w:tabs>
          <w:tab w:val="left" w:pos="4830"/>
        </w:tabs>
        <w:ind w:firstLine="851"/>
        <w:jc w:val="both"/>
        <w:rPr>
          <w:rFonts w:ascii="Arial" w:hAnsi="Arial" w:cs="Arial"/>
          <w:sz w:val="24"/>
          <w:szCs w:val="24"/>
        </w:rPr>
      </w:pPr>
      <w:r>
        <w:rPr>
          <w:rFonts w:ascii="Arial" w:hAnsi="Arial" w:cs="Arial"/>
          <w:sz w:val="24"/>
          <w:szCs w:val="24"/>
        </w:rPr>
        <w:t>Considerando a lógica da lei, que garante ao cônjuge o direito de herança – em concorrência com os descendentes – dos bens particulares</w:t>
      </w:r>
      <w:r>
        <w:rPr>
          <w:rStyle w:val="Refdenotaderodap"/>
          <w:rFonts w:ascii="Arial" w:hAnsi="Arial" w:cs="Arial"/>
          <w:sz w:val="24"/>
          <w:szCs w:val="24"/>
        </w:rPr>
        <w:footnoteReference w:id="64"/>
      </w:r>
      <w:r>
        <w:rPr>
          <w:rFonts w:ascii="Arial" w:hAnsi="Arial" w:cs="Arial"/>
          <w:sz w:val="24"/>
          <w:szCs w:val="24"/>
        </w:rPr>
        <w:t xml:space="preserve"> do </w:t>
      </w:r>
      <w:r>
        <w:rPr>
          <w:rFonts w:ascii="Arial" w:hAnsi="Arial" w:cs="Arial"/>
          <w:i/>
          <w:sz w:val="24"/>
          <w:szCs w:val="24"/>
        </w:rPr>
        <w:t>de cujus</w:t>
      </w:r>
      <w:r>
        <w:rPr>
          <w:rFonts w:ascii="Arial" w:hAnsi="Arial" w:cs="Arial"/>
          <w:sz w:val="24"/>
          <w:szCs w:val="24"/>
        </w:rPr>
        <w:t>, a inexistência de meação no regime de separação convencional de bens acarretaria o direito de concorrência à herança sobre todo o acervo patrimonial do falecido, uma vez que, nessa hipótese, é integralment</w:t>
      </w:r>
      <w:r w:rsidR="006A6FA6">
        <w:rPr>
          <w:rFonts w:ascii="Arial" w:hAnsi="Arial" w:cs="Arial"/>
          <w:sz w:val="24"/>
          <w:szCs w:val="24"/>
        </w:rPr>
        <w:t>e composta por bens particulares.</w:t>
      </w:r>
      <w:r w:rsidR="006A6FA6">
        <w:rPr>
          <w:rFonts w:ascii="Arial" w:hAnsi="Arial" w:cs="Arial"/>
          <w:sz w:val="24"/>
          <w:szCs w:val="24"/>
        </w:rPr>
        <w:tab/>
      </w:r>
    </w:p>
    <w:p w:rsidR="003D7560" w:rsidRDefault="006A6FA6" w:rsidP="00E63780">
      <w:pPr>
        <w:tabs>
          <w:tab w:val="left" w:pos="4830"/>
        </w:tabs>
        <w:ind w:firstLine="851"/>
        <w:jc w:val="both"/>
        <w:rPr>
          <w:rFonts w:ascii="Arial" w:hAnsi="Arial" w:cs="Arial"/>
          <w:sz w:val="24"/>
          <w:szCs w:val="24"/>
        </w:rPr>
      </w:pPr>
      <w:r>
        <w:rPr>
          <w:rFonts w:ascii="Arial" w:hAnsi="Arial" w:cs="Arial"/>
          <w:sz w:val="24"/>
          <w:szCs w:val="24"/>
        </w:rPr>
        <w:t>P</w:t>
      </w:r>
      <w:r w:rsidR="009A59AC">
        <w:rPr>
          <w:rFonts w:ascii="Arial" w:hAnsi="Arial" w:cs="Arial"/>
          <w:sz w:val="24"/>
          <w:szCs w:val="24"/>
        </w:rPr>
        <w:t xml:space="preserve">or razões lógicas, </w:t>
      </w:r>
      <w:r w:rsidR="00450022">
        <w:rPr>
          <w:rFonts w:ascii="Arial" w:hAnsi="Arial" w:cs="Arial"/>
          <w:sz w:val="24"/>
          <w:szCs w:val="24"/>
        </w:rPr>
        <w:t xml:space="preserve">parte da doutrina defende ser </w:t>
      </w:r>
      <w:r w:rsidR="009A59AC">
        <w:rPr>
          <w:rFonts w:ascii="Arial" w:hAnsi="Arial" w:cs="Arial"/>
          <w:sz w:val="24"/>
          <w:szCs w:val="24"/>
        </w:rPr>
        <w:t xml:space="preserve">evidente que a separação legal de bens está excluída da </w:t>
      </w:r>
      <w:r w:rsidR="00425545">
        <w:rPr>
          <w:rFonts w:ascii="Arial" w:hAnsi="Arial" w:cs="Arial"/>
          <w:sz w:val="24"/>
          <w:szCs w:val="24"/>
        </w:rPr>
        <w:t>concorrência à herança</w:t>
      </w:r>
      <w:r w:rsidR="00CC0D0D">
        <w:rPr>
          <w:rStyle w:val="Refdenotaderodap"/>
          <w:rFonts w:ascii="Arial" w:hAnsi="Arial" w:cs="Arial"/>
          <w:sz w:val="24"/>
          <w:szCs w:val="24"/>
        </w:rPr>
        <w:footnoteReference w:id="65"/>
      </w:r>
      <w:r w:rsidR="00425545">
        <w:rPr>
          <w:rFonts w:ascii="Arial" w:hAnsi="Arial" w:cs="Arial"/>
          <w:sz w:val="24"/>
          <w:szCs w:val="24"/>
        </w:rPr>
        <w:t xml:space="preserve">, </w:t>
      </w:r>
      <w:r w:rsidR="00DF7337">
        <w:rPr>
          <w:rFonts w:ascii="Arial" w:hAnsi="Arial" w:cs="Arial"/>
          <w:sz w:val="24"/>
          <w:szCs w:val="24"/>
        </w:rPr>
        <w:t>tendo em vista que</w:t>
      </w:r>
      <w:r w:rsidR="00425545">
        <w:rPr>
          <w:rFonts w:ascii="Arial" w:hAnsi="Arial" w:cs="Arial"/>
          <w:sz w:val="24"/>
          <w:szCs w:val="24"/>
        </w:rPr>
        <w:t xml:space="preserve"> sua razão </w:t>
      </w:r>
      <w:r w:rsidR="004B2CE7">
        <w:rPr>
          <w:rFonts w:ascii="Arial" w:hAnsi="Arial" w:cs="Arial"/>
          <w:sz w:val="24"/>
          <w:szCs w:val="24"/>
        </w:rPr>
        <w:t>de ser consiste, justamente, em evitar que um cô</w:t>
      </w:r>
      <w:r>
        <w:rPr>
          <w:rFonts w:ascii="Arial" w:hAnsi="Arial" w:cs="Arial"/>
          <w:sz w:val="24"/>
          <w:szCs w:val="24"/>
        </w:rPr>
        <w:t>njuge participe do patrimônio</w:t>
      </w:r>
      <w:r w:rsidR="004B2CE7">
        <w:rPr>
          <w:rFonts w:ascii="Arial" w:hAnsi="Arial" w:cs="Arial"/>
          <w:sz w:val="24"/>
          <w:szCs w:val="24"/>
        </w:rPr>
        <w:t xml:space="preserve"> do outro</w:t>
      </w:r>
      <w:r w:rsidR="004B2CE7">
        <w:rPr>
          <w:rStyle w:val="Refdenotaderodap"/>
          <w:rFonts w:ascii="Arial" w:hAnsi="Arial" w:cs="Arial"/>
          <w:sz w:val="24"/>
          <w:szCs w:val="24"/>
        </w:rPr>
        <w:footnoteReference w:id="66"/>
      </w:r>
      <w:r w:rsidR="00971F03">
        <w:rPr>
          <w:rFonts w:ascii="Arial" w:hAnsi="Arial" w:cs="Arial"/>
          <w:sz w:val="24"/>
          <w:szCs w:val="24"/>
        </w:rPr>
        <w:t>.</w:t>
      </w:r>
    </w:p>
    <w:p w:rsidR="00DF7337" w:rsidRDefault="008C4897" w:rsidP="00E63780">
      <w:pPr>
        <w:tabs>
          <w:tab w:val="left" w:pos="4830"/>
        </w:tabs>
        <w:ind w:firstLine="851"/>
        <w:jc w:val="both"/>
        <w:rPr>
          <w:rFonts w:ascii="Arial" w:hAnsi="Arial" w:cs="Arial"/>
          <w:sz w:val="24"/>
          <w:szCs w:val="24"/>
        </w:rPr>
      </w:pPr>
      <w:r>
        <w:rPr>
          <w:rFonts w:ascii="Arial" w:hAnsi="Arial" w:cs="Arial"/>
          <w:sz w:val="24"/>
          <w:szCs w:val="24"/>
        </w:rPr>
        <w:t xml:space="preserve">A polêmica doutrinária </w:t>
      </w:r>
      <w:r w:rsidR="00A963B0">
        <w:rPr>
          <w:rFonts w:ascii="Arial" w:hAnsi="Arial" w:cs="Arial"/>
          <w:sz w:val="24"/>
          <w:szCs w:val="24"/>
        </w:rPr>
        <w:t xml:space="preserve">que ora se analisa </w:t>
      </w:r>
      <w:r w:rsidR="00B559C6">
        <w:rPr>
          <w:rFonts w:ascii="Arial" w:hAnsi="Arial" w:cs="Arial"/>
          <w:sz w:val="24"/>
          <w:szCs w:val="24"/>
        </w:rPr>
        <w:t>reside</w:t>
      </w:r>
      <w:r w:rsidR="00F53E2F">
        <w:rPr>
          <w:rFonts w:ascii="Arial" w:hAnsi="Arial" w:cs="Arial"/>
          <w:sz w:val="24"/>
          <w:szCs w:val="24"/>
        </w:rPr>
        <w:t>, portanto,</w:t>
      </w:r>
      <w:r w:rsidR="002E4029">
        <w:rPr>
          <w:rFonts w:ascii="Arial" w:hAnsi="Arial" w:cs="Arial"/>
          <w:sz w:val="24"/>
          <w:szCs w:val="24"/>
        </w:rPr>
        <w:t xml:space="preserve"> na </w:t>
      </w:r>
      <w:r w:rsidR="00A454BB">
        <w:rPr>
          <w:rFonts w:ascii="Arial" w:hAnsi="Arial" w:cs="Arial"/>
          <w:sz w:val="24"/>
          <w:szCs w:val="24"/>
        </w:rPr>
        <w:t>consideração</w:t>
      </w:r>
      <w:r>
        <w:rPr>
          <w:rFonts w:ascii="Arial" w:hAnsi="Arial" w:cs="Arial"/>
          <w:sz w:val="24"/>
          <w:szCs w:val="24"/>
        </w:rPr>
        <w:t xml:space="preserve"> </w:t>
      </w:r>
      <w:r w:rsidR="00314FB6">
        <w:rPr>
          <w:rFonts w:ascii="Arial" w:hAnsi="Arial" w:cs="Arial"/>
          <w:sz w:val="24"/>
          <w:szCs w:val="24"/>
        </w:rPr>
        <w:t>do cônjuge sobrevivente como herdeiro necessário do falecido, ainda que casado sob o regime da separação convencional de bens</w:t>
      </w:r>
      <w:r w:rsidR="002E4029">
        <w:rPr>
          <w:rFonts w:ascii="Arial" w:hAnsi="Arial" w:cs="Arial"/>
          <w:sz w:val="24"/>
          <w:szCs w:val="24"/>
        </w:rPr>
        <w:t xml:space="preserve">. </w:t>
      </w:r>
    </w:p>
    <w:p w:rsidR="00603859" w:rsidRDefault="002E4029" w:rsidP="00E63780">
      <w:pPr>
        <w:tabs>
          <w:tab w:val="left" w:pos="4830"/>
        </w:tabs>
        <w:ind w:firstLine="851"/>
        <w:jc w:val="both"/>
        <w:rPr>
          <w:rFonts w:ascii="Arial" w:hAnsi="Arial" w:cs="Arial"/>
          <w:sz w:val="24"/>
          <w:szCs w:val="24"/>
        </w:rPr>
      </w:pPr>
      <w:r>
        <w:rPr>
          <w:rFonts w:ascii="Arial" w:hAnsi="Arial" w:cs="Arial"/>
          <w:sz w:val="24"/>
          <w:szCs w:val="24"/>
        </w:rPr>
        <w:t xml:space="preserve">Como se vê, </w:t>
      </w:r>
      <w:r w:rsidR="00314FB6">
        <w:rPr>
          <w:rFonts w:ascii="Arial" w:hAnsi="Arial" w:cs="Arial"/>
          <w:sz w:val="24"/>
          <w:szCs w:val="24"/>
        </w:rPr>
        <w:t xml:space="preserve">o artigo 1.829, inciso I, </w:t>
      </w:r>
      <w:r>
        <w:rPr>
          <w:rFonts w:ascii="Arial" w:hAnsi="Arial" w:cs="Arial"/>
          <w:sz w:val="24"/>
          <w:szCs w:val="24"/>
        </w:rPr>
        <w:t xml:space="preserve">frustra a expectativa de que a redação entre parênteses elucidaria a espécie (legal ou convencional) de separação de bens a que alude. </w:t>
      </w:r>
      <w:r w:rsidR="00EC43D0">
        <w:rPr>
          <w:rFonts w:ascii="Arial" w:hAnsi="Arial" w:cs="Arial"/>
          <w:sz w:val="24"/>
          <w:szCs w:val="24"/>
        </w:rPr>
        <w:t xml:space="preserve">Isso porque, </w:t>
      </w:r>
      <w:r w:rsidR="00015F6A">
        <w:rPr>
          <w:rFonts w:ascii="Arial" w:hAnsi="Arial" w:cs="Arial"/>
          <w:sz w:val="24"/>
          <w:szCs w:val="24"/>
        </w:rPr>
        <w:t>ao invés de</w:t>
      </w:r>
      <w:r w:rsidR="00EC43D0">
        <w:rPr>
          <w:rFonts w:ascii="Arial" w:hAnsi="Arial" w:cs="Arial"/>
          <w:sz w:val="24"/>
          <w:szCs w:val="24"/>
        </w:rPr>
        <w:t xml:space="preserve"> especificá-la</w:t>
      </w:r>
      <w:r w:rsidR="008C4897">
        <w:rPr>
          <w:rFonts w:ascii="Arial" w:hAnsi="Arial" w:cs="Arial"/>
          <w:sz w:val="24"/>
          <w:szCs w:val="24"/>
        </w:rPr>
        <w:t>, ac</w:t>
      </w:r>
      <w:r w:rsidR="00015F6A">
        <w:rPr>
          <w:rFonts w:ascii="Arial" w:hAnsi="Arial" w:cs="Arial"/>
          <w:sz w:val="24"/>
          <w:szCs w:val="24"/>
        </w:rPr>
        <w:t>rescenta, entre parênteses, o artigo 1.640, parágrafo único, que nada contribui para a interpretação:</w:t>
      </w:r>
    </w:p>
    <w:p w:rsidR="00603859" w:rsidRDefault="00603859" w:rsidP="00BA67CA">
      <w:pPr>
        <w:tabs>
          <w:tab w:val="left" w:pos="4830"/>
        </w:tabs>
        <w:ind w:firstLine="851"/>
        <w:jc w:val="both"/>
        <w:rPr>
          <w:rFonts w:ascii="Arial" w:hAnsi="Arial" w:cs="Arial"/>
          <w:sz w:val="24"/>
          <w:szCs w:val="24"/>
        </w:rPr>
      </w:pPr>
    </w:p>
    <w:p w:rsidR="00401769" w:rsidRPr="00603859" w:rsidRDefault="00A5779E" w:rsidP="00603859">
      <w:pPr>
        <w:tabs>
          <w:tab w:val="left" w:pos="4830"/>
        </w:tabs>
        <w:spacing w:line="240" w:lineRule="auto"/>
        <w:ind w:left="2268"/>
        <w:jc w:val="both"/>
        <w:rPr>
          <w:rFonts w:ascii="Arial" w:hAnsi="Arial" w:cs="Arial"/>
          <w:sz w:val="20"/>
          <w:szCs w:val="20"/>
        </w:rPr>
      </w:pPr>
      <w:r>
        <w:rPr>
          <w:rFonts w:ascii="Arial" w:hAnsi="Arial" w:cs="Arial"/>
          <w:sz w:val="20"/>
          <w:szCs w:val="20"/>
        </w:rPr>
        <w:t>Art. 1.640</w:t>
      </w:r>
      <w:r w:rsidR="00603859" w:rsidRPr="00603859">
        <w:rPr>
          <w:rFonts w:ascii="Arial" w:hAnsi="Arial" w:cs="Arial"/>
          <w:sz w:val="20"/>
          <w:szCs w:val="20"/>
        </w:rPr>
        <w:t>:</w:t>
      </w:r>
      <w:r w:rsidR="00DC14EB">
        <w:rPr>
          <w:rFonts w:ascii="Arial" w:hAnsi="Arial" w:cs="Arial"/>
          <w:sz w:val="20"/>
          <w:szCs w:val="20"/>
        </w:rPr>
        <w:t xml:space="preserve"> </w:t>
      </w:r>
      <w:r w:rsidR="00EC43D0" w:rsidRPr="00603859">
        <w:rPr>
          <w:rFonts w:ascii="Arial" w:hAnsi="Arial" w:cs="Arial"/>
          <w:sz w:val="20"/>
          <w:szCs w:val="20"/>
        </w:rPr>
        <w:t>Poderão os nubentes, no processo de habilitação, optar por qualquer dos regimes que este Código regula. Quanto à forma, reduzir-se-á a termo a opção pela comunhão parcial, fazendo-se o pacto antenupcial por escritu</w:t>
      </w:r>
      <w:r w:rsidR="00DC14EB">
        <w:rPr>
          <w:rFonts w:ascii="Arial" w:hAnsi="Arial" w:cs="Arial"/>
          <w:sz w:val="20"/>
          <w:szCs w:val="20"/>
        </w:rPr>
        <w:t>ra pública, nas demais escolhas</w:t>
      </w:r>
      <w:r w:rsidR="00EC43D0" w:rsidRPr="00603859">
        <w:rPr>
          <w:rFonts w:ascii="Arial" w:hAnsi="Arial" w:cs="Arial"/>
          <w:sz w:val="20"/>
          <w:szCs w:val="20"/>
        </w:rPr>
        <w:t>.</w:t>
      </w:r>
    </w:p>
    <w:p w:rsidR="00603859" w:rsidRPr="00603859" w:rsidRDefault="00603859" w:rsidP="00603859">
      <w:pPr>
        <w:tabs>
          <w:tab w:val="left" w:pos="4830"/>
        </w:tabs>
        <w:spacing w:line="240" w:lineRule="auto"/>
        <w:ind w:left="2268"/>
        <w:jc w:val="both"/>
        <w:rPr>
          <w:rFonts w:ascii="Arial" w:hAnsi="Arial" w:cs="Arial"/>
          <w:i/>
          <w:sz w:val="20"/>
          <w:szCs w:val="20"/>
        </w:rPr>
      </w:pPr>
    </w:p>
    <w:p w:rsidR="00603859" w:rsidRPr="00603859" w:rsidRDefault="00603859" w:rsidP="00603859">
      <w:pPr>
        <w:tabs>
          <w:tab w:val="left" w:pos="4830"/>
        </w:tabs>
        <w:spacing w:line="240" w:lineRule="auto"/>
        <w:ind w:left="2268"/>
        <w:jc w:val="both"/>
        <w:rPr>
          <w:rFonts w:ascii="Arial" w:hAnsi="Arial" w:cs="Arial"/>
          <w:sz w:val="20"/>
          <w:szCs w:val="20"/>
        </w:rPr>
      </w:pPr>
    </w:p>
    <w:p w:rsidR="00C7224D" w:rsidRDefault="00E412BC" w:rsidP="00E63780">
      <w:pPr>
        <w:tabs>
          <w:tab w:val="left" w:pos="4830"/>
        </w:tabs>
        <w:ind w:firstLine="851"/>
        <w:jc w:val="both"/>
        <w:rPr>
          <w:rFonts w:ascii="Arial" w:hAnsi="Arial" w:cs="Arial"/>
          <w:sz w:val="24"/>
          <w:szCs w:val="24"/>
        </w:rPr>
      </w:pPr>
      <w:r>
        <w:rPr>
          <w:rFonts w:ascii="Arial" w:hAnsi="Arial" w:cs="Arial"/>
          <w:sz w:val="24"/>
          <w:szCs w:val="24"/>
        </w:rPr>
        <w:lastRenderedPageBreak/>
        <w:t>Diante desse</w:t>
      </w:r>
      <w:r w:rsidR="00FD614C">
        <w:rPr>
          <w:rFonts w:ascii="Arial" w:hAnsi="Arial" w:cs="Arial"/>
          <w:sz w:val="24"/>
          <w:szCs w:val="24"/>
        </w:rPr>
        <w:t xml:space="preserve"> panorama e na tentativa de apaziguar a ambiguidade decorrente </w:t>
      </w:r>
      <w:r w:rsidR="003D1926">
        <w:rPr>
          <w:rFonts w:ascii="Arial" w:hAnsi="Arial" w:cs="Arial"/>
          <w:sz w:val="24"/>
          <w:szCs w:val="24"/>
        </w:rPr>
        <w:t>do artigo 1.829, inciso I, do Código Civil</w:t>
      </w:r>
      <w:r w:rsidR="00FD614C">
        <w:rPr>
          <w:rFonts w:ascii="Arial" w:hAnsi="Arial" w:cs="Arial"/>
          <w:sz w:val="24"/>
          <w:szCs w:val="24"/>
        </w:rPr>
        <w:t xml:space="preserve">, </w:t>
      </w:r>
      <w:r w:rsidR="00793E63">
        <w:rPr>
          <w:rFonts w:ascii="Arial" w:hAnsi="Arial" w:cs="Arial"/>
          <w:sz w:val="24"/>
          <w:szCs w:val="24"/>
        </w:rPr>
        <w:t>duas</w:t>
      </w:r>
      <w:r w:rsidR="00FD614C">
        <w:rPr>
          <w:rFonts w:ascii="Arial" w:hAnsi="Arial" w:cs="Arial"/>
          <w:sz w:val="24"/>
          <w:szCs w:val="24"/>
        </w:rPr>
        <w:t xml:space="preserve"> correntes doutrinárias se estabeleceram</w:t>
      </w:r>
      <w:r w:rsidR="00C7224D">
        <w:rPr>
          <w:rFonts w:ascii="Arial" w:hAnsi="Arial" w:cs="Arial"/>
          <w:sz w:val="24"/>
          <w:szCs w:val="24"/>
        </w:rPr>
        <w:t xml:space="preserve">, as quais </w:t>
      </w:r>
      <w:r w:rsidR="00E16231">
        <w:rPr>
          <w:rFonts w:ascii="Arial" w:hAnsi="Arial" w:cs="Arial"/>
          <w:sz w:val="24"/>
          <w:szCs w:val="24"/>
        </w:rPr>
        <w:t xml:space="preserve">serão abordadas nos tópicos seguintes. </w:t>
      </w:r>
    </w:p>
    <w:p w:rsidR="00FB3A05" w:rsidRDefault="00FB3A05" w:rsidP="007F1654">
      <w:pPr>
        <w:tabs>
          <w:tab w:val="left" w:pos="4830"/>
        </w:tabs>
        <w:ind w:firstLine="851"/>
        <w:jc w:val="both"/>
        <w:rPr>
          <w:rFonts w:ascii="Arial" w:hAnsi="Arial" w:cs="Arial"/>
          <w:sz w:val="24"/>
          <w:szCs w:val="24"/>
        </w:rPr>
      </w:pPr>
    </w:p>
    <w:p w:rsidR="00D46974" w:rsidRPr="00DD39E4" w:rsidRDefault="00E16231" w:rsidP="00D46974">
      <w:pPr>
        <w:tabs>
          <w:tab w:val="left" w:pos="4830"/>
        </w:tabs>
        <w:jc w:val="both"/>
        <w:rPr>
          <w:rFonts w:ascii="Arial" w:hAnsi="Arial" w:cs="Arial"/>
          <w:b/>
          <w:sz w:val="24"/>
          <w:szCs w:val="24"/>
        </w:rPr>
      </w:pPr>
      <w:r>
        <w:rPr>
          <w:rFonts w:ascii="Arial" w:hAnsi="Arial" w:cs="Arial"/>
          <w:b/>
          <w:sz w:val="24"/>
          <w:szCs w:val="24"/>
        </w:rPr>
        <w:t>5</w:t>
      </w:r>
      <w:r w:rsidR="00D46974">
        <w:rPr>
          <w:rFonts w:ascii="Arial" w:hAnsi="Arial" w:cs="Arial"/>
          <w:b/>
          <w:sz w:val="24"/>
          <w:szCs w:val="24"/>
        </w:rPr>
        <w:t xml:space="preserve"> </w:t>
      </w:r>
      <w:r w:rsidR="00D46974" w:rsidRPr="00DD39E4">
        <w:rPr>
          <w:rFonts w:ascii="Arial" w:hAnsi="Arial" w:cs="Arial"/>
          <w:b/>
          <w:sz w:val="24"/>
          <w:szCs w:val="24"/>
        </w:rPr>
        <w:t>PRESERVAÇÃO DA AUTONOMIA DA VONTADE DECLARADA EM VIDA</w:t>
      </w:r>
    </w:p>
    <w:p w:rsidR="00D46974" w:rsidRDefault="00D46974" w:rsidP="00D46974">
      <w:pPr>
        <w:tabs>
          <w:tab w:val="left" w:pos="4830"/>
        </w:tabs>
        <w:jc w:val="both"/>
        <w:rPr>
          <w:rFonts w:ascii="Arial" w:hAnsi="Arial" w:cs="Arial"/>
          <w:sz w:val="24"/>
          <w:szCs w:val="24"/>
        </w:rPr>
      </w:pPr>
    </w:p>
    <w:p w:rsidR="00E16231" w:rsidRDefault="00D46974" w:rsidP="00E77099">
      <w:pPr>
        <w:tabs>
          <w:tab w:val="left" w:pos="4830"/>
        </w:tabs>
        <w:ind w:firstLine="851"/>
        <w:jc w:val="both"/>
        <w:rPr>
          <w:rFonts w:ascii="Arial" w:hAnsi="Arial" w:cs="Arial"/>
          <w:sz w:val="24"/>
          <w:szCs w:val="24"/>
        </w:rPr>
      </w:pPr>
      <w:r>
        <w:rPr>
          <w:rFonts w:ascii="Arial" w:hAnsi="Arial" w:cs="Arial"/>
          <w:sz w:val="24"/>
          <w:szCs w:val="24"/>
        </w:rPr>
        <w:t xml:space="preserve">De acordo com </w:t>
      </w:r>
      <w:r w:rsidR="00580859">
        <w:rPr>
          <w:rFonts w:ascii="Arial" w:hAnsi="Arial" w:cs="Arial"/>
          <w:sz w:val="24"/>
          <w:szCs w:val="24"/>
        </w:rPr>
        <w:t>parte da</w:t>
      </w:r>
      <w:r w:rsidR="00D047F4">
        <w:rPr>
          <w:rFonts w:ascii="Arial" w:hAnsi="Arial" w:cs="Arial"/>
          <w:sz w:val="24"/>
          <w:szCs w:val="24"/>
        </w:rPr>
        <w:t xml:space="preserve"> doutrina, </w:t>
      </w:r>
      <w:r w:rsidR="00630785">
        <w:rPr>
          <w:rFonts w:ascii="Arial" w:hAnsi="Arial" w:cs="Arial"/>
          <w:sz w:val="24"/>
          <w:szCs w:val="24"/>
        </w:rPr>
        <w:t>na hipótese de o casamento ser o de separação convencional de bens, o cônjuge sobrevivente não tem direito à concorrência sobre a herança com os descendentes e ascendentes do falecido.</w:t>
      </w:r>
    </w:p>
    <w:p w:rsidR="00E77099" w:rsidRDefault="00630785" w:rsidP="00E77099">
      <w:pPr>
        <w:tabs>
          <w:tab w:val="left" w:pos="4830"/>
        </w:tabs>
        <w:ind w:firstLine="851"/>
        <w:jc w:val="both"/>
        <w:rPr>
          <w:rFonts w:ascii="Arial" w:hAnsi="Arial" w:cs="Arial"/>
          <w:iCs/>
          <w:sz w:val="24"/>
          <w:szCs w:val="24"/>
        </w:rPr>
      </w:pPr>
      <w:r>
        <w:rPr>
          <w:rFonts w:ascii="Arial" w:hAnsi="Arial" w:cs="Arial"/>
          <w:sz w:val="24"/>
          <w:szCs w:val="24"/>
        </w:rPr>
        <w:t>Isso porque, segundo este entendimento, o adjetivo “obrigatória”, como adiantado, diz respeito ao caráter cogente do pac</w:t>
      </w:r>
      <w:r w:rsidRPr="00630785">
        <w:rPr>
          <w:rFonts w:ascii="Arial" w:hAnsi="Arial" w:cs="Arial"/>
          <w:sz w:val="24"/>
          <w:szCs w:val="24"/>
        </w:rPr>
        <w:t>to antenupcial</w:t>
      </w:r>
      <w:r w:rsidRPr="00630785">
        <w:rPr>
          <w:rStyle w:val="Refdenotaderodap"/>
          <w:rFonts w:ascii="Arial" w:hAnsi="Arial" w:cs="Arial"/>
          <w:iCs/>
          <w:sz w:val="24"/>
          <w:szCs w:val="24"/>
        </w:rPr>
        <w:footnoteReference w:id="67"/>
      </w:r>
      <w:r w:rsidRPr="00630785">
        <w:rPr>
          <w:rFonts w:ascii="Arial" w:hAnsi="Arial" w:cs="Arial"/>
          <w:iCs/>
          <w:sz w:val="24"/>
          <w:szCs w:val="24"/>
        </w:rPr>
        <w:t>, e não à espécie de separação legal de bens.</w:t>
      </w:r>
    </w:p>
    <w:p w:rsidR="00887603" w:rsidRDefault="00630785" w:rsidP="00E77099">
      <w:pPr>
        <w:tabs>
          <w:tab w:val="left" w:pos="4830"/>
        </w:tabs>
        <w:ind w:firstLine="851"/>
        <w:jc w:val="both"/>
        <w:rPr>
          <w:rFonts w:ascii="Arial" w:hAnsi="Arial" w:cs="Arial"/>
          <w:sz w:val="24"/>
          <w:szCs w:val="24"/>
        </w:rPr>
      </w:pPr>
      <w:r>
        <w:rPr>
          <w:rFonts w:ascii="Arial" w:hAnsi="Arial" w:cs="Arial"/>
          <w:sz w:val="24"/>
          <w:szCs w:val="24"/>
        </w:rPr>
        <w:t xml:space="preserve">Principal defensor dessa interpretação, </w:t>
      </w:r>
      <w:r w:rsidR="00D047F4">
        <w:rPr>
          <w:rFonts w:ascii="Arial" w:hAnsi="Arial" w:cs="Arial"/>
          <w:sz w:val="24"/>
          <w:szCs w:val="24"/>
        </w:rPr>
        <w:t xml:space="preserve">o </w:t>
      </w:r>
      <w:r>
        <w:rPr>
          <w:rFonts w:ascii="Arial" w:hAnsi="Arial" w:cs="Arial"/>
          <w:sz w:val="24"/>
          <w:szCs w:val="24"/>
        </w:rPr>
        <w:t xml:space="preserve">ilustre </w:t>
      </w:r>
      <w:r w:rsidR="00D047F4">
        <w:rPr>
          <w:rFonts w:ascii="Arial" w:hAnsi="Arial" w:cs="Arial"/>
          <w:sz w:val="24"/>
          <w:szCs w:val="24"/>
        </w:rPr>
        <w:t>jusfil</w:t>
      </w:r>
      <w:r w:rsidR="00D84A11">
        <w:rPr>
          <w:rFonts w:ascii="Arial" w:hAnsi="Arial" w:cs="Arial"/>
          <w:sz w:val="24"/>
          <w:szCs w:val="24"/>
        </w:rPr>
        <w:t>ósofo Miguel Reale afirma que</w:t>
      </w:r>
      <w:r w:rsidR="00887603">
        <w:rPr>
          <w:rFonts w:ascii="Arial" w:hAnsi="Arial" w:cs="Arial"/>
          <w:sz w:val="24"/>
          <w:szCs w:val="24"/>
        </w:rPr>
        <w:t xml:space="preserve"> </w:t>
      </w:r>
      <w:r w:rsidR="003E2D1A">
        <w:rPr>
          <w:rFonts w:ascii="Arial" w:hAnsi="Arial" w:cs="Arial"/>
          <w:sz w:val="24"/>
          <w:szCs w:val="24"/>
        </w:rPr>
        <w:t xml:space="preserve">o regime matrimonial </w:t>
      </w:r>
      <w:r w:rsidR="00E77099">
        <w:rPr>
          <w:rFonts w:ascii="Arial" w:hAnsi="Arial" w:cs="Arial"/>
          <w:sz w:val="24"/>
          <w:szCs w:val="24"/>
        </w:rPr>
        <w:t>de bens</w:t>
      </w:r>
      <w:r w:rsidR="003E2D1A">
        <w:rPr>
          <w:rFonts w:ascii="Arial" w:hAnsi="Arial" w:cs="Arial"/>
          <w:sz w:val="24"/>
          <w:szCs w:val="24"/>
        </w:rPr>
        <w:t xml:space="preserve"> </w:t>
      </w:r>
      <w:r w:rsidR="00E77099" w:rsidRPr="003E2D1A">
        <w:rPr>
          <w:rFonts w:ascii="Arial" w:hAnsi="Arial" w:cs="Arial"/>
          <w:i/>
          <w:iCs/>
          <w:sz w:val="24"/>
          <w:szCs w:val="24"/>
        </w:rPr>
        <w:t>traduz a continuação da personalidade do morto pela</w:t>
      </w:r>
      <w:r w:rsidR="003E2D1A" w:rsidRPr="003E2D1A">
        <w:rPr>
          <w:rFonts w:ascii="Arial" w:hAnsi="Arial" w:cs="Arial"/>
          <w:i/>
          <w:iCs/>
          <w:sz w:val="24"/>
          <w:szCs w:val="24"/>
        </w:rPr>
        <w:t xml:space="preserve"> </w:t>
      </w:r>
      <w:r w:rsidR="00E77099" w:rsidRPr="003E2D1A">
        <w:rPr>
          <w:rFonts w:ascii="Arial" w:hAnsi="Arial" w:cs="Arial"/>
          <w:i/>
          <w:iCs/>
          <w:sz w:val="24"/>
          <w:szCs w:val="24"/>
        </w:rPr>
        <w:t>projeção jurídica dos arran</w:t>
      </w:r>
      <w:r w:rsidR="00DC14EB">
        <w:rPr>
          <w:rFonts w:ascii="Arial" w:hAnsi="Arial" w:cs="Arial"/>
          <w:i/>
          <w:iCs/>
          <w:sz w:val="24"/>
          <w:szCs w:val="24"/>
        </w:rPr>
        <w:t>jos patrimoniais feitos em vida</w:t>
      </w:r>
      <w:r w:rsidR="00042C13">
        <w:rPr>
          <w:rStyle w:val="Refdenotaderodap"/>
          <w:rFonts w:ascii="Arial" w:hAnsi="Arial" w:cs="Arial"/>
          <w:i/>
          <w:iCs/>
          <w:sz w:val="24"/>
          <w:szCs w:val="24"/>
        </w:rPr>
        <w:footnoteReference w:id="68"/>
      </w:r>
      <w:r w:rsidR="00E77099" w:rsidRPr="003E2D1A">
        <w:rPr>
          <w:rFonts w:ascii="Arial" w:hAnsi="Arial" w:cs="Arial"/>
          <w:i/>
          <w:sz w:val="24"/>
          <w:szCs w:val="24"/>
        </w:rPr>
        <w:t>.</w:t>
      </w:r>
      <w:r w:rsidR="003E2D1A">
        <w:rPr>
          <w:rFonts w:ascii="Arial" w:hAnsi="Arial" w:cs="Arial"/>
          <w:i/>
          <w:sz w:val="24"/>
          <w:szCs w:val="24"/>
        </w:rPr>
        <w:t xml:space="preserve"> </w:t>
      </w:r>
      <w:r w:rsidR="003E2D1A">
        <w:rPr>
          <w:rFonts w:ascii="Arial" w:hAnsi="Arial" w:cs="Arial"/>
          <w:sz w:val="24"/>
          <w:szCs w:val="24"/>
        </w:rPr>
        <w:t xml:space="preserve">Desse modo, conferir ao cônjuge sobrevivente o direito à concorrência com os descendentes e ascendentes sobre a herança do falecido seria ultrajar a vontade </w:t>
      </w:r>
      <w:r w:rsidR="005773C8">
        <w:rPr>
          <w:rFonts w:ascii="Arial" w:hAnsi="Arial" w:cs="Arial"/>
          <w:sz w:val="24"/>
          <w:szCs w:val="24"/>
        </w:rPr>
        <w:t>de quem</w:t>
      </w:r>
      <w:r w:rsidR="003E2D1A">
        <w:rPr>
          <w:rFonts w:ascii="Arial" w:hAnsi="Arial" w:cs="Arial"/>
          <w:sz w:val="24"/>
          <w:szCs w:val="24"/>
        </w:rPr>
        <w:t xml:space="preserve">, em vida, </w:t>
      </w:r>
      <w:r w:rsidR="005773C8">
        <w:rPr>
          <w:rFonts w:ascii="Arial" w:hAnsi="Arial" w:cs="Arial"/>
          <w:sz w:val="24"/>
          <w:szCs w:val="24"/>
        </w:rPr>
        <w:t>nunca quis dividi-los.</w:t>
      </w:r>
    </w:p>
    <w:p w:rsidR="00D46974" w:rsidRDefault="00042C13" w:rsidP="002C4353">
      <w:pPr>
        <w:tabs>
          <w:tab w:val="left" w:pos="4830"/>
        </w:tabs>
        <w:ind w:firstLine="851"/>
        <w:jc w:val="both"/>
        <w:rPr>
          <w:rFonts w:ascii="Arial" w:hAnsi="Arial" w:cs="Arial"/>
          <w:sz w:val="24"/>
          <w:szCs w:val="24"/>
        </w:rPr>
      </w:pPr>
      <w:r>
        <w:rPr>
          <w:rFonts w:ascii="Arial" w:hAnsi="Arial" w:cs="Arial"/>
          <w:sz w:val="24"/>
          <w:szCs w:val="24"/>
        </w:rPr>
        <w:t>Assim, p</w:t>
      </w:r>
      <w:r w:rsidR="00887603">
        <w:rPr>
          <w:rFonts w:ascii="Arial" w:hAnsi="Arial" w:cs="Arial"/>
          <w:sz w:val="24"/>
          <w:szCs w:val="24"/>
        </w:rPr>
        <w:t xml:space="preserve">ara o doutrinador, o artigo 1.829, inciso I, deve ser interpretado em conjunto com o artigo 1.687 do Código Civil, o qual </w:t>
      </w:r>
      <w:r w:rsidR="002C4353">
        <w:rPr>
          <w:rFonts w:ascii="Arial" w:hAnsi="Arial" w:cs="Arial"/>
          <w:sz w:val="24"/>
          <w:szCs w:val="24"/>
        </w:rPr>
        <w:t xml:space="preserve">prevê que </w:t>
      </w:r>
      <w:r w:rsidR="00DC14EB" w:rsidRPr="00DC14EB">
        <w:rPr>
          <w:rFonts w:ascii="Arial" w:hAnsi="Arial" w:cs="Arial"/>
          <w:sz w:val="24"/>
          <w:szCs w:val="24"/>
        </w:rPr>
        <w:t>"</w:t>
      </w:r>
      <w:r w:rsidR="002C4353" w:rsidRPr="00DC14EB">
        <w:rPr>
          <w:rFonts w:ascii="Arial" w:hAnsi="Arial" w:cs="Arial"/>
          <w:sz w:val="24"/>
          <w:szCs w:val="24"/>
        </w:rPr>
        <w:t>estipulada a separação dos bens, estes permanecerão sob a administração exclusiva de cada um dos cônjuges (...)”</w:t>
      </w:r>
      <w:r w:rsidR="00D02508" w:rsidRPr="00DC14EB">
        <w:rPr>
          <w:rFonts w:ascii="Arial" w:hAnsi="Arial" w:cs="Arial"/>
          <w:sz w:val="24"/>
          <w:szCs w:val="24"/>
        </w:rPr>
        <w:t>,</w:t>
      </w:r>
      <w:r w:rsidR="00D02508">
        <w:rPr>
          <w:rFonts w:ascii="Arial" w:hAnsi="Arial" w:cs="Arial"/>
          <w:i/>
          <w:sz w:val="24"/>
          <w:szCs w:val="24"/>
        </w:rPr>
        <w:t xml:space="preserve"> </w:t>
      </w:r>
      <w:r w:rsidR="00D02508">
        <w:rPr>
          <w:rFonts w:ascii="Arial" w:hAnsi="Arial" w:cs="Arial"/>
          <w:sz w:val="24"/>
          <w:szCs w:val="24"/>
        </w:rPr>
        <w:t xml:space="preserve">de modo </w:t>
      </w:r>
      <w:r w:rsidR="001B2FE4">
        <w:rPr>
          <w:rFonts w:ascii="Arial" w:hAnsi="Arial" w:cs="Arial"/>
          <w:sz w:val="24"/>
          <w:szCs w:val="24"/>
        </w:rPr>
        <w:t xml:space="preserve">a preservar a </w:t>
      </w:r>
      <w:r w:rsidR="005C1EDC">
        <w:rPr>
          <w:rFonts w:ascii="Arial" w:hAnsi="Arial" w:cs="Arial"/>
          <w:sz w:val="24"/>
          <w:szCs w:val="24"/>
        </w:rPr>
        <w:t>autodeterminação</w:t>
      </w:r>
      <w:r w:rsidR="001B2FE4">
        <w:rPr>
          <w:rFonts w:ascii="Arial" w:hAnsi="Arial" w:cs="Arial"/>
          <w:sz w:val="24"/>
          <w:szCs w:val="24"/>
        </w:rPr>
        <w:t xml:space="preserve"> </w:t>
      </w:r>
      <w:r w:rsidR="005C1EDC">
        <w:rPr>
          <w:rFonts w:ascii="Arial" w:hAnsi="Arial" w:cs="Arial"/>
          <w:sz w:val="24"/>
          <w:szCs w:val="24"/>
        </w:rPr>
        <w:t>dos consortes, declarada</w:t>
      </w:r>
      <w:r w:rsidR="001B2FE4">
        <w:rPr>
          <w:rFonts w:ascii="Arial" w:hAnsi="Arial" w:cs="Arial"/>
          <w:sz w:val="24"/>
          <w:szCs w:val="24"/>
        </w:rPr>
        <w:t xml:space="preserve"> no pacto antenupcial.</w:t>
      </w:r>
    </w:p>
    <w:p w:rsidR="001B2FE4" w:rsidRPr="00294FAA" w:rsidRDefault="005926EC" w:rsidP="005926EC">
      <w:pPr>
        <w:tabs>
          <w:tab w:val="left" w:pos="4830"/>
        </w:tabs>
        <w:ind w:firstLine="851"/>
        <w:jc w:val="both"/>
        <w:rPr>
          <w:rFonts w:ascii="Arial" w:hAnsi="Arial" w:cs="Arial"/>
          <w:iCs/>
          <w:sz w:val="24"/>
          <w:szCs w:val="24"/>
        </w:rPr>
      </w:pPr>
      <w:r>
        <w:rPr>
          <w:rFonts w:ascii="Arial" w:hAnsi="Arial" w:cs="Arial"/>
          <w:sz w:val="24"/>
          <w:szCs w:val="24"/>
        </w:rPr>
        <w:t>Sobre o tema, Miguel Reale prossegue afirmando que a consideração do cônjuge sobrevivente como herdeiro necessário do autor da herança fere substancialmente o supracitado dispositivo, e que, em observância ao princípio da unidade sistemática</w:t>
      </w:r>
      <w:r w:rsidRPr="00294FAA">
        <w:rPr>
          <w:rFonts w:ascii="Arial" w:hAnsi="Arial" w:cs="Arial"/>
          <w:sz w:val="24"/>
          <w:szCs w:val="24"/>
        </w:rPr>
        <w:t>, “</w:t>
      </w:r>
      <w:r w:rsidRPr="00294FAA">
        <w:rPr>
          <w:rFonts w:ascii="Arial" w:hAnsi="Arial" w:cs="Arial"/>
          <w:iCs/>
          <w:sz w:val="24"/>
          <w:szCs w:val="24"/>
        </w:rPr>
        <w:t>e</w:t>
      </w:r>
      <w:r w:rsidR="001B2FE4" w:rsidRPr="00294FAA">
        <w:rPr>
          <w:rFonts w:ascii="Arial" w:hAnsi="Arial" w:cs="Arial"/>
          <w:iCs/>
          <w:sz w:val="24"/>
          <w:szCs w:val="24"/>
        </w:rPr>
        <w:t>ntre uma interpretação que esvazia o art. 1.687 no momento</w:t>
      </w:r>
      <w:r w:rsidRPr="00294FAA">
        <w:rPr>
          <w:rFonts w:ascii="Arial" w:hAnsi="Arial" w:cs="Arial"/>
          <w:iCs/>
          <w:sz w:val="24"/>
          <w:szCs w:val="24"/>
        </w:rPr>
        <w:t xml:space="preserve"> </w:t>
      </w:r>
      <w:r w:rsidR="001B2FE4" w:rsidRPr="00294FAA">
        <w:rPr>
          <w:rFonts w:ascii="Arial" w:hAnsi="Arial" w:cs="Arial"/>
          <w:iCs/>
          <w:sz w:val="24"/>
          <w:szCs w:val="24"/>
        </w:rPr>
        <w:t>crucial da morte de um dos cônjuges e uma outra que interpreta de</w:t>
      </w:r>
      <w:r w:rsidRPr="00294FAA">
        <w:rPr>
          <w:rFonts w:ascii="Arial" w:hAnsi="Arial" w:cs="Arial"/>
          <w:iCs/>
          <w:sz w:val="24"/>
          <w:szCs w:val="24"/>
        </w:rPr>
        <w:t xml:space="preserve"> </w:t>
      </w:r>
      <w:r w:rsidR="001B2FE4" w:rsidRPr="00294FAA">
        <w:rPr>
          <w:rFonts w:ascii="Arial" w:hAnsi="Arial" w:cs="Arial"/>
          <w:iCs/>
          <w:sz w:val="24"/>
          <w:szCs w:val="24"/>
        </w:rPr>
        <w:t xml:space="preserve">maneira </w:t>
      </w:r>
      <w:r w:rsidR="001B2FE4" w:rsidRPr="00294FAA">
        <w:rPr>
          <w:rFonts w:ascii="Arial" w:hAnsi="Arial" w:cs="Arial"/>
          <w:iCs/>
          <w:sz w:val="24"/>
          <w:szCs w:val="24"/>
        </w:rPr>
        <w:lastRenderedPageBreak/>
        <w:t>complementar os dois citados artigos, não se pode deixar</w:t>
      </w:r>
      <w:r w:rsidRPr="00294FAA">
        <w:rPr>
          <w:rFonts w:ascii="Arial" w:hAnsi="Arial" w:cs="Arial"/>
          <w:iCs/>
          <w:sz w:val="24"/>
          <w:szCs w:val="24"/>
        </w:rPr>
        <w:t xml:space="preserve"> d</w:t>
      </w:r>
      <w:r w:rsidR="001B2FE4" w:rsidRPr="00294FAA">
        <w:rPr>
          <w:rFonts w:ascii="Arial" w:hAnsi="Arial" w:cs="Arial"/>
          <w:iCs/>
          <w:sz w:val="24"/>
          <w:szCs w:val="24"/>
        </w:rPr>
        <w:t>e dar</w:t>
      </w:r>
      <w:r w:rsidRPr="00294FAA">
        <w:rPr>
          <w:rFonts w:ascii="Arial" w:hAnsi="Arial" w:cs="Arial"/>
          <w:iCs/>
          <w:sz w:val="24"/>
          <w:szCs w:val="24"/>
        </w:rPr>
        <w:t xml:space="preserve"> preferência à segunda solução”</w:t>
      </w:r>
      <w:r w:rsidRPr="00294FAA">
        <w:rPr>
          <w:rStyle w:val="Refdenotaderodap"/>
          <w:rFonts w:ascii="Arial" w:hAnsi="Arial" w:cs="Arial"/>
          <w:iCs/>
          <w:sz w:val="24"/>
          <w:szCs w:val="24"/>
        </w:rPr>
        <w:footnoteReference w:id="69"/>
      </w:r>
      <w:r w:rsidRPr="00294FAA">
        <w:rPr>
          <w:rFonts w:ascii="Arial" w:hAnsi="Arial" w:cs="Arial"/>
          <w:iCs/>
          <w:sz w:val="24"/>
          <w:szCs w:val="24"/>
        </w:rPr>
        <w:t>.</w:t>
      </w:r>
    </w:p>
    <w:p w:rsidR="006278EF" w:rsidRDefault="006278EF" w:rsidP="005926EC">
      <w:pPr>
        <w:tabs>
          <w:tab w:val="left" w:pos="4830"/>
        </w:tabs>
        <w:ind w:firstLine="851"/>
        <w:jc w:val="both"/>
        <w:rPr>
          <w:rFonts w:ascii="Arial" w:hAnsi="Arial" w:cs="Arial"/>
          <w:iCs/>
          <w:sz w:val="24"/>
          <w:szCs w:val="24"/>
        </w:rPr>
      </w:pPr>
      <w:r>
        <w:rPr>
          <w:rFonts w:ascii="Arial" w:hAnsi="Arial" w:cs="Arial"/>
          <w:iCs/>
          <w:sz w:val="24"/>
          <w:szCs w:val="24"/>
        </w:rPr>
        <w:t>O entendimento do referido jurista não se encontra isolado na doutrina, partilhando Eduardo de Oliveira Leite de idêntica compreensão:</w:t>
      </w:r>
    </w:p>
    <w:p w:rsidR="006278EF" w:rsidRPr="006278EF" w:rsidRDefault="006278EF" w:rsidP="005926EC">
      <w:pPr>
        <w:tabs>
          <w:tab w:val="left" w:pos="4830"/>
        </w:tabs>
        <w:ind w:firstLine="851"/>
        <w:jc w:val="both"/>
        <w:rPr>
          <w:rFonts w:ascii="Arial" w:hAnsi="Arial" w:cs="Arial"/>
          <w:iCs/>
          <w:sz w:val="24"/>
          <w:szCs w:val="24"/>
        </w:rPr>
      </w:pPr>
    </w:p>
    <w:p w:rsidR="006278EF" w:rsidRPr="006278EF" w:rsidRDefault="006278EF" w:rsidP="006278EF">
      <w:pPr>
        <w:autoSpaceDE w:val="0"/>
        <w:autoSpaceDN w:val="0"/>
        <w:adjustRightInd w:val="0"/>
        <w:spacing w:line="240" w:lineRule="auto"/>
        <w:ind w:left="2268"/>
        <w:jc w:val="both"/>
        <w:rPr>
          <w:rFonts w:ascii="Arial" w:hAnsi="Arial" w:cs="Arial"/>
          <w:bCs/>
          <w:iCs/>
          <w:color w:val="000000"/>
          <w:sz w:val="20"/>
          <w:szCs w:val="20"/>
        </w:rPr>
      </w:pPr>
      <w:r w:rsidRPr="006278EF">
        <w:rPr>
          <w:rFonts w:ascii="Arial" w:hAnsi="Arial" w:cs="Arial"/>
          <w:bCs/>
          <w:iCs/>
          <w:color w:val="000000"/>
          <w:sz w:val="20"/>
          <w:szCs w:val="20"/>
        </w:rPr>
        <w:t>A coerência e cientificidade de Reale mais uma vez se impõe: desconsiderar os efeitos decorrentes do regime de separação convencional revela-se, senão difícil, impossível, e desconsiderar a vontade manifesta das partes materializada no pacto antenupcial implicaria invalidar um ato jurídico formal,</w:t>
      </w:r>
    </w:p>
    <w:p w:rsidR="006278EF" w:rsidRPr="006278EF" w:rsidRDefault="006278EF" w:rsidP="006278EF">
      <w:pPr>
        <w:autoSpaceDE w:val="0"/>
        <w:autoSpaceDN w:val="0"/>
        <w:adjustRightInd w:val="0"/>
        <w:spacing w:line="240" w:lineRule="auto"/>
        <w:ind w:left="2268"/>
        <w:jc w:val="both"/>
        <w:rPr>
          <w:rFonts w:ascii="Arial" w:hAnsi="Arial" w:cs="Arial"/>
          <w:bCs/>
          <w:iCs/>
          <w:color w:val="000000"/>
          <w:sz w:val="20"/>
          <w:szCs w:val="20"/>
        </w:rPr>
      </w:pPr>
      <w:r w:rsidRPr="006278EF">
        <w:rPr>
          <w:rFonts w:ascii="Arial" w:hAnsi="Arial" w:cs="Arial"/>
          <w:bCs/>
          <w:iCs/>
          <w:color w:val="000000"/>
          <w:sz w:val="20"/>
          <w:szCs w:val="20"/>
        </w:rPr>
        <w:t>que produziu todos os efeitos durante a vida em comum do casal e, pois, não poderia deixar de valer após a morte de um de seus subscritores</w:t>
      </w:r>
      <w:r>
        <w:rPr>
          <w:rStyle w:val="Refdenotaderodap"/>
          <w:rFonts w:ascii="Arial" w:hAnsi="Arial" w:cs="Arial"/>
          <w:bCs/>
          <w:iCs/>
          <w:color w:val="000000"/>
          <w:sz w:val="20"/>
          <w:szCs w:val="20"/>
        </w:rPr>
        <w:footnoteReference w:id="70"/>
      </w:r>
      <w:r w:rsidRPr="006278EF">
        <w:rPr>
          <w:rFonts w:ascii="Arial" w:hAnsi="Arial" w:cs="Arial"/>
          <w:bCs/>
          <w:iCs/>
          <w:color w:val="000000"/>
          <w:sz w:val="20"/>
          <w:szCs w:val="20"/>
        </w:rPr>
        <w:t>.</w:t>
      </w:r>
    </w:p>
    <w:p w:rsidR="006278EF" w:rsidRDefault="006278EF" w:rsidP="006278EF">
      <w:pPr>
        <w:autoSpaceDE w:val="0"/>
        <w:autoSpaceDN w:val="0"/>
        <w:adjustRightInd w:val="0"/>
        <w:spacing w:line="240" w:lineRule="auto"/>
        <w:ind w:left="2268"/>
        <w:jc w:val="both"/>
        <w:rPr>
          <w:rFonts w:ascii="Arial" w:hAnsi="Arial" w:cs="Arial"/>
          <w:bCs/>
          <w:iCs/>
          <w:color w:val="000000"/>
          <w:sz w:val="20"/>
          <w:szCs w:val="20"/>
        </w:rPr>
      </w:pPr>
    </w:p>
    <w:p w:rsidR="006278EF" w:rsidRDefault="006278EF" w:rsidP="005C1EDC">
      <w:pPr>
        <w:autoSpaceDE w:val="0"/>
        <w:autoSpaceDN w:val="0"/>
        <w:adjustRightInd w:val="0"/>
        <w:ind w:left="2268"/>
        <w:jc w:val="both"/>
        <w:rPr>
          <w:rFonts w:ascii="Arial" w:hAnsi="Arial" w:cs="Arial"/>
          <w:bCs/>
          <w:iCs/>
          <w:color w:val="000000"/>
          <w:sz w:val="20"/>
          <w:szCs w:val="20"/>
        </w:rPr>
      </w:pPr>
    </w:p>
    <w:p w:rsidR="006278EF" w:rsidRDefault="007B60F3" w:rsidP="00E63780">
      <w:pPr>
        <w:autoSpaceDE w:val="0"/>
        <w:autoSpaceDN w:val="0"/>
        <w:adjustRightInd w:val="0"/>
        <w:ind w:firstLine="851"/>
        <w:jc w:val="both"/>
        <w:rPr>
          <w:rFonts w:ascii="Arial" w:hAnsi="Arial" w:cs="Arial"/>
          <w:bCs/>
          <w:iCs/>
          <w:color w:val="000000"/>
          <w:sz w:val="24"/>
          <w:szCs w:val="24"/>
        </w:rPr>
      </w:pPr>
      <w:r>
        <w:rPr>
          <w:rFonts w:ascii="Arial" w:hAnsi="Arial" w:cs="Arial"/>
          <w:bCs/>
          <w:iCs/>
          <w:color w:val="000000"/>
          <w:sz w:val="24"/>
          <w:szCs w:val="24"/>
        </w:rPr>
        <w:t>Destarte</w:t>
      </w:r>
      <w:r w:rsidR="00314FB6">
        <w:rPr>
          <w:rFonts w:ascii="Arial" w:hAnsi="Arial" w:cs="Arial"/>
          <w:bCs/>
          <w:iCs/>
          <w:color w:val="000000"/>
          <w:sz w:val="24"/>
          <w:szCs w:val="24"/>
        </w:rPr>
        <w:t xml:space="preserve">, </w:t>
      </w:r>
      <w:r w:rsidR="00DF7337">
        <w:rPr>
          <w:rFonts w:ascii="Arial" w:hAnsi="Arial" w:cs="Arial"/>
          <w:bCs/>
          <w:iCs/>
          <w:color w:val="000000"/>
          <w:sz w:val="24"/>
          <w:szCs w:val="24"/>
        </w:rPr>
        <w:t xml:space="preserve">segundo esta doutrina, </w:t>
      </w:r>
      <w:r>
        <w:rPr>
          <w:rFonts w:ascii="Arial" w:hAnsi="Arial" w:cs="Arial"/>
          <w:bCs/>
          <w:iCs/>
          <w:color w:val="000000"/>
          <w:sz w:val="24"/>
          <w:szCs w:val="24"/>
        </w:rPr>
        <w:t>desconsiderar o que</w:t>
      </w:r>
      <w:r w:rsidR="00E412BC">
        <w:rPr>
          <w:rFonts w:ascii="Arial" w:hAnsi="Arial" w:cs="Arial"/>
          <w:bCs/>
          <w:iCs/>
          <w:color w:val="000000"/>
          <w:sz w:val="24"/>
          <w:szCs w:val="24"/>
        </w:rPr>
        <w:t xml:space="preserve"> foi</w:t>
      </w:r>
      <w:r>
        <w:rPr>
          <w:rFonts w:ascii="Arial" w:hAnsi="Arial" w:cs="Arial"/>
          <w:bCs/>
          <w:iCs/>
          <w:color w:val="000000"/>
          <w:sz w:val="24"/>
          <w:szCs w:val="24"/>
        </w:rPr>
        <w:t xml:space="preserve"> celebrado no pacto antenupcial acarretaria hiante insegurança jurídica, uma vez que os cônjuges não mais teriam certeza sobre a dissociabilidade de seus bens </w:t>
      </w:r>
      <w:r w:rsidR="005C1EDC">
        <w:rPr>
          <w:rFonts w:ascii="Arial" w:hAnsi="Arial" w:cs="Arial"/>
          <w:bCs/>
          <w:i/>
          <w:iCs/>
          <w:color w:val="000000"/>
          <w:sz w:val="24"/>
          <w:szCs w:val="24"/>
        </w:rPr>
        <w:t>pos</w:t>
      </w:r>
      <w:r w:rsidR="00A14B33">
        <w:rPr>
          <w:rFonts w:ascii="Arial" w:hAnsi="Arial" w:cs="Arial"/>
          <w:bCs/>
          <w:i/>
          <w:iCs/>
          <w:color w:val="000000"/>
          <w:sz w:val="24"/>
          <w:szCs w:val="24"/>
        </w:rPr>
        <w:t>t</w:t>
      </w:r>
      <w:r w:rsidR="005C1EDC">
        <w:rPr>
          <w:rFonts w:ascii="Arial" w:hAnsi="Arial" w:cs="Arial"/>
          <w:bCs/>
          <w:i/>
          <w:iCs/>
          <w:color w:val="000000"/>
          <w:sz w:val="24"/>
          <w:szCs w:val="24"/>
        </w:rPr>
        <w:t xml:space="preserve"> mortem</w:t>
      </w:r>
      <w:r w:rsidR="005C1EDC">
        <w:rPr>
          <w:rStyle w:val="Refdenotaderodap"/>
          <w:rFonts w:ascii="Arial" w:hAnsi="Arial" w:cs="Arial"/>
          <w:bCs/>
          <w:i/>
          <w:iCs/>
          <w:color w:val="000000"/>
          <w:sz w:val="24"/>
          <w:szCs w:val="24"/>
        </w:rPr>
        <w:footnoteReference w:id="71"/>
      </w:r>
      <w:r w:rsidR="005C1EDC">
        <w:rPr>
          <w:rFonts w:ascii="Arial" w:hAnsi="Arial" w:cs="Arial"/>
          <w:bCs/>
          <w:iCs/>
          <w:color w:val="000000"/>
          <w:sz w:val="24"/>
          <w:szCs w:val="24"/>
        </w:rPr>
        <w:t>.</w:t>
      </w:r>
      <w:r w:rsidR="00E05240">
        <w:rPr>
          <w:rFonts w:ascii="Arial" w:hAnsi="Arial" w:cs="Arial"/>
          <w:bCs/>
          <w:iCs/>
          <w:color w:val="000000"/>
          <w:sz w:val="24"/>
          <w:szCs w:val="24"/>
        </w:rPr>
        <w:t xml:space="preserve"> Questiona-se, assim, qual seria a utilidade de escolher a incomunicabilidade de bens em vida se, após a morte de um dos cônjuges, eles necessariamente se somariam.</w:t>
      </w:r>
    </w:p>
    <w:p w:rsidR="00E05240" w:rsidRPr="00294FAA" w:rsidRDefault="005C1EDC" w:rsidP="00E63780">
      <w:pPr>
        <w:autoSpaceDE w:val="0"/>
        <w:autoSpaceDN w:val="0"/>
        <w:adjustRightInd w:val="0"/>
        <w:ind w:firstLine="851"/>
        <w:jc w:val="both"/>
        <w:rPr>
          <w:rFonts w:ascii="Arial" w:hAnsi="Arial" w:cs="Arial"/>
          <w:bCs/>
          <w:iCs/>
          <w:color w:val="000000"/>
          <w:sz w:val="24"/>
          <w:szCs w:val="24"/>
        </w:rPr>
      </w:pPr>
      <w:r>
        <w:rPr>
          <w:rFonts w:ascii="Arial" w:hAnsi="Arial" w:cs="Arial"/>
          <w:bCs/>
          <w:iCs/>
          <w:color w:val="000000"/>
          <w:sz w:val="24"/>
          <w:szCs w:val="24"/>
        </w:rPr>
        <w:t xml:space="preserve">Daneluzzi, nesse diapasão, afirma que os </w:t>
      </w:r>
      <w:r w:rsidRPr="00294FAA">
        <w:rPr>
          <w:rFonts w:ascii="Arial" w:hAnsi="Arial" w:cs="Arial"/>
          <w:bCs/>
          <w:iCs/>
          <w:color w:val="000000"/>
          <w:sz w:val="24"/>
          <w:szCs w:val="24"/>
        </w:rPr>
        <w:t>“</w:t>
      </w:r>
      <w:r w:rsidR="006278EF" w:rsidRPr="00294FAA">
        <w:rPr>
          <w:rFonts w:ascii="Arial" w:hAnsi="Arial" w:cs="Arial"/>
          <w:bCs/>
          <w:iCs/>
          <w:color w:val="000000"/>
          <w:sz w:val="24"/>
          <w:szCs w:val="24"/>
        </w:rPr>
        <w:t>titulares dos bens tinham certeza que eles</w:t>
      </w:r>
      <w:r w:rsidRPr="00294FAA">
        <w:rPr>
          <w:rFonts w:ascii="Arial" w:hAnsi="Arial" w:cs="Arial"/>
          <w:bCs/>
          <w:iCs/>
          <w:color w:val="000000"/>
          <w:sz w:val="24"/>
          <w:szCs w:val="24"/>
        </w:rPr>
        <w:t xml:space="preserve"> </w:t>
      </w:r>
      <w:r w:rsidR="006278EF" w:rsidRPr="00294FAA">
        <w:rPr>
          <w:rFonts w:ascii="Arial" w:hAnsi="Arial" w:cs="Arial"/>
          <w:bCs/>
          <w:iCs/>
          <w:color w:val="000000"/>
          <w:sz w:val="24"/>
          <w:szCs w:val="24"/>
        </w:rPr>
        <w:t>permaneceriam no âmbito de determinada família; o que veio a</w:t>
      </w:r>
      <w:r w:rsidRPr="00294FAA">
        <w:rPr>
          <w:rFonts w:ascii="Arial" w:hAnsi="Arial" w:cs="Arial"/>
          <w:bCs/>
          <w:iCs/>
          <w:color w:val="000000"/>
          <w:sz w:val="24"/>
          <w:szCs w:val="24"/>
        </w:rPr>
        <w:t xml:space="preserve"> </w:t>
      </w:r>
      <w:r w:rsidR="006278EF" w:rsidRPr="00294FAA">
        <w:rPr>
          <w:rFonts w:ascii="Arial" w:hAnsi="Arial" w:cs="Arial"/>
          <w:bCs/>
          <w:iCs/>
          <w:color w:val="000000"/>
          <w:sz w:val="24"/>
          <w:szCs w:val="24"/>
        </w:rPr>
        <w:t>causar espécie é que essas pessoas não terão mais a mesma</w:t>
      </w:r>
      <w:r w:rsidRPr="00294FAA">
        <w:rPr>
          <w:rFonts w:ascii="Arial" w:hAnsi="Arial" w:cs="Arial"/>
          <w:bCs/>
          <w:iCs/>
          <w:color w:val="000000"/>
          <w:sz w:val="24"/>
          <w:szCs w:val="24"/>
        </w:rPr>
        <w:t xml:space="preserve"> </w:t>
      </w:r>
      <w:r w:rsidR="006278EF" w:rsidRPr="00294FAA">
        <w:rPr>
          <w:rFonts w:ascii="Arial" w:hAnsi="Arial" w:cs="Arial"/>
          <w:bCs/>
          <w:iCs/>
          <w:color w:val="000000"/>
          <w:sz w:val="24"/>
          <w:szCs w:val="24"/>
        </w:rPr>
        <w:t>certeza, o que poderá</w:t>
      </w:r>
      <w:r w:rsidRPr="00294FAA">
        <w:rPr>
          <w:rFonts w:ascii="Arial" w:hAnsi="Arial" w:cs="Arial"/>
          <w:bCs/>
          <w:iCs/>
          <w:color w:val="000000"/>
          <w:sz w:val="24"/>
          <w:szCs w:val="24"/>
        </w:rPr>
        <w:t xml:space="preserve"> provocar insegurança jurídica (...)”</w:t>
      </w:r>
      <w:r w:rsidR="00040C52" w:rsidRPr="00294FAA">
        <w:rPr>
          <w:rStyle w:val="Refdenotaderodap"/>
          <w:rFonts w:ascii="Arial" w:hAnsi="Arial" w:cs="Arial"/>
          <w:bCs/>
          <w:iCs/>
          <w:color w:val="000000"/>
          <w:sz w:val="24"/>
          <w:szCs w:val="24"/>
        </w:rPr>
        <w:footnoteReference w:id="72"/>
      </w:r>
      <w:r w:rsidR="00A921C3" w:rsidRPr="00294FAA">
        <w:rPr>
          <w:rFonts w:ascii="Arial" w:hAnsi="Arial" w:cs="Arial"/>
          <w:bCs/>
          <w:iCs/>
          <w:color w:val="000000"/>
          <w:sz w:val="24"/>
          <w:szCs w:val="24"/>
        </w:rPr>
        <w:t>.</w:t>
      </w:r>
      <w:r w:rsidR="00E05240" w:rsidRPr="00294FAA">
        <w:rPr>
          <w:rFonts w:ascii="Arial" w:hAnsi="Arial" w:cs="Arial"/>
          <w:bCs/>
          <w:iCs/>
          <w:color w:val="000000"/>
          <w:sz w:val="24"/>
          <w:szCs w:val="24"/>
        </w:rPr>
        <w:t xml:space="preserve">  </w:t>
      </w:r>
    </w:p>
    <w:p w:rsidR="00225F77" w:rsidRDefault="000D0BF5" w:rsidP="00E63780">
      <w:pPr>
        <w:autoSpaceDE w:val="0"/>
        <w:autoSpaceDN w:val="0"/>
        <w:adjustRightInd w:val="0"/>
        <w:ind w:firstLine="851"/>
        <w:jc w:val="both"/>
        <w:rPr>
          <w:rFonts w:ascii="Arial" w:hAnsi="Arial" w:cs="Arial"/>
          <w:sz w:val="24"/>
          <w:szCs w:val="24"/>
        </w:rPr>
      </w:pPr>
      <w:r>
        <w:rPr>
          <w:rFonts w:ascii="Arial" w:hAnsi="Arial" w:cs="Arial"/>
          <w:sz w:val="24"/>
          <w:szCs w:val="24"/>
        </w:rPr>
        <w:t xml:space="preserve">Assim, de acordo com a referida </w:t>
      </w:r>
      <w:r w:rsidR="00E05240">
        <w:rPr>
          <w:rFonts w:ascii="Arial" w:hAnsi="Arial" w:cs="Arial"/>
          <w:sz w:val="24"/>
          <w:szCs w:val="24"/>
        </w:rPr>
        <w:t xml:space="preserve">corrente hermenêutica, admitir a vinculação existente entre o regime de bens adotado e as regras sucessórias não significa confundir os institutos, de modo que suplantar a separação de bens estipulada em vida, apenas em decorrência da morte do cônjuge, seria </w:t>
      </w:r>
      <w:r w:rsidR="00225F77">
        <w:rPr>
          <w:rFonts w:ascii="Arial" w:hAnsi="Arial" w:cs="Arial"/>
          <w:sz w:val="24"/>
          <w:szCs w:val="24"/>
        </w:rPr>
        <w:t>aniquilar</w:t>
      </w:r>
      <w:r w:rsidR="00E05240">
        <w:rPr>
          <w:rFonts w:ascii="Arial" w:hAnsi="Arial" w:cs="Arial"/>
          <w:sz w:val="24"/>
          <w:szCs w:val="24"/>
        </w:rPr>
        <w:t xml:space="preserve"> a validade do pacto antenupcial</w:t>
      </w:r>
      <w:r w:rsidR="00225F77">
        <w:rPr>
          <w:rStyle w:val="Refdenotaderodap"/>
          <w:rFonts w:ascii="Arial" w:hAnsi="Arial" w:cs="Arial"/>
          <w:sz w:val="24"/>
          <w:szCs w:val="24"/>
        </w:rPr>
        <w:footnoteReference w:id="73"/>
      </w:r>
      <w:r w:rsidR="00225F77">
        <w:rPr>
          <w:rFonts w:ascii="Arial" w:hAnsi="Arial" w:cs="Arial"/>
          <w:sz w:val="24"/>
          <w:szCs w:val="24"/>
        </w:rPr>
        <w:t>.</w:t>
      </w:r>
    </w:p>
    <w:p w:rsidR="00225F77" w:rsidRDefault="00E05240" w:rsidP="00E63780">
      <w:pPr>
        <w:autoSpaceDE w:val="0"/>
        <w:autoSpaceDN w:val="0"/>
        <w:adjustRightInd w:val="0"/>
        <w:ind w:firstLine="851"/>
        <w:jc w:val="both"/>
        <w:rPr>
          <w:rFonts w:ascii="Arial" w:hAnsi="Arial" w:cs="Arial"/>
          <w:sz w:val="24"/>
          <w:szCs w:val="24"/>
        </w:rPr>
      </w:pPr>
      <w:r>
        <w:rPr>
          <w:rFonts w:ascii="Arial" w:hAnsi="Arial" w:cs="Arial"/>
          <w:sz w:val="24"/>
          <w:szCs w:val="24"/>
        </w:rPr>
        <w:t xml:space="preserve">Sobre o tema, </w:t>
      </w:r>
      <w:r w:rsidR="00225F77">
        <w:rPr>
          <w:rFonts w:ascii="Arial" w:hAnsi="Arial" w:cs="Arial"/>
          <w:sz w:val="24"/>
          <w:szCs w:val="24"/>
        </w:rPr>
        <w:t>o ilustre Ministro Luis Felipe Salomão, consignou em seu voto-vista no Recurso Especial nº 1.111.096/RJ</w:t>
      </w:r>
      <w:r w:rsidR="00225F77">
        <w:rPr>
          <w:rStyle w:val="Refdenotaderodap"/>
          <w:rFonts w:ascii="Arial" w:hAnsi="Arial" w:cs="Arial"/>
          <w:sz w:val="24"/>
          <w:szCs w:val="24"/>
        </w:rPr>
        <w:footnoteReference w:id="74"/>
      </w:r>
      <w:r w:rsidR="00225F77">
        <w:rPr>
          <w:rFonts w:ascii="Arial" w:hAnsi="Arial" w:cs="Arial"/>
          <w:sz w:val="24"/>
          <w:szCs w:val="24"/>
        </w:rPr>
        <w:t xml:space="preserve"> a seguinte conclusão:</w:t>
      </w:r>
    </w:p>
    <w:p w:rsidR="00225F77" w:rsidRPr="00225F77" w:rsidRDefault="00225F77" w:rsidP="00225F77">
      <w:pPr>
        <w:autoSpaceDE w:val="0"/>
        <w:autoSpaceDN w:val="0"/>
        <w:adjustRightInd w:val="0"/>
        <w:spacing w:line="240" w:lineRule="auto"/>
        <w:ind w:firstLine="709"/>
        <w:jc w:val="both"/>
        <w:rPr>
          <w:rFonts w:ascii="Arial" w:hAnsi="Arial" w:cs="Arial"/>
          <w:sz w:val="24"/>
          <w:szCs w:val="24"/>
        </w:rPr>
      </w:pPr>
    </w:p>
    <w:p w:rsidR="00303A76" w:rsidRPr="00225F77" w:rsidRDefault="00225F77" w:rsidP="00225F77">
      <w:pPr>
        <w:autoSpaceDE w:val="0"/>
        <w:autoSpaceDN w:val="0"/>
        <w:adjustRightInd w:val="0"/>
        <w:spacing w:line="240" w:lineRule="auto"/>
        <w:ind w:left="2268"/>
        <w:jc w:val="both"/>
        <w:rPr>
          <w:rFonts w:ascii="Arial" w:hAnsi="Arial" w:cs="Arial"/>
          <w:sz w:val="24"/>
          <w:szCs w:val="24"/>
        </w:rPr>
      </w:pPr>
      <w:r w:rsidRPr="00225F77">
        <w:rPr>
          <w:rFonts w:ascii="Arial" w:hAnsi="Arial" w:cs="Arial"/>
          <w:iCs/>
          <w:sz w:val="20"/>
          <w:szCs w:val="20"/>
        </w:rPr>
        <w:lastRenderedPageBreak/>
        <w:t xml:space="preserve">Existe no plano sucessório, influência inegável do regime de bens no casamento, não se podendo afirmar que são absolutamente independentes e sem relacionamento no tocante às causas e aos efeitos esses institutos que a lei particulariza nos direitos de família </w:t>
      </w:r>
      <w:r>
        <w:rPr>
          <w:rFonts w:ascii="Arial" w:hAnsi="Arial" w:cs="Arial"/>
          <w:iCs/>
          <w:sz w:val="20"/>
          <w:szCs w:val="20"/>
        </w:rPr>
        <w:t>e das sucessões.</w:t>
      </w:r>
    </w:p>
    <w:p w:rsidR="00303A76" w:rsidRDefault="00303A76" w:rsidP="00303A76">
      <w:pPr>
        <w:tabs>
          <w:tab w:val="left" w:pos="4830"/>
        </w:tabs>
        <w:ind w:firstLine="851"/>
        <w:jc w:val="both"/>
        <w:rPr>
          <w:rFonts w:ascii="Arial" w:hAnsi="Arial" w:cs="Arial"/>
          <w:sz w:val="24"/>
          <w:szCs w:val="24"/>
        </w:rPr>
      </w:pPr>
    </w:p>
    <w:p w:rsidR="00303A76" w:rsidRDefault="00253681" w:rsidP="00235489">
      <w:pPr>
        <w:tabs>
          <w:tab w:val="left" w:pos="4830"/>
        </w:tabs>
        <w:ind w:firstLine="851"/>
        <w:jc w:val="both"/>
        <w:rPr>
          <w:rFonts w:ascii="Arial" w:hAnsi="Arial" w:cs="Arial"/>
          <w:sz w:val="24"/>
          <w:szCs w:val="24"/>
        </w:rPr>
      </w:pPr>
      <w:r>
        <w:rPr>
          <w:rFonts w:ascii="Arial" w:hAnsi="Arial" w:cs="Arial"/>
          <w:sz w:val="24"/>
          <w:szCs w:val="24"/>
        </w:rPr>
        <w:t>Além disso, o Ministro Fernando Gonçalves</w:t>
      </w:r>
      <w:r w:rsidR="00A80547">
        <w:rPr>
          <w:rFonts w:ascii="Arial" w:hAnsi="Arial" w:cs="Arial"/>
          <w:sz w:val="24"/>
          <w:szCs w:val="24"/>
        </w:rPr>
        <w:t xml:space="preserve"> rebate o argumento de que a</w:t>
      </w:r>
      <w:r w:rsidR="00AE6453">
        <w:rPr>
          <w:rFonts w:ascii="Arial" w:hAnsi="Arial" w:cs="Arial"/>
          <w:sz w:val="24"/>
          <w:szCs w:val="24"/>
        </w:rPr>
        <w:t xml:space="preserve"> exclusão do </w:t>
      </w:r>
      <w:r w:rsidR="00A80547">
        <w:rPr>
          <w:rFonts w:ascii="Arial" w:hAnsi="Arial" w:cs="Arial"/>
          <w:sz w:val="24"/>
          <w:szCs w:val="24"/>
        </w:rPr>
        <w:t>cônjuge sobrevivente como herdeiro necessário</w:t>
      </w:r>
      <w:r w:rsidR="00AE6453">
        <w:rPr>
          <w:rFonts w:ascii="Arial" w:hAnsi="Arial" w:cs="Arial"/>
          <w:sz w:val="24"/>
          <w:szCs w:val="24"/>
        </w:rPr>
        <w:t>,</w:t>
      </w:r>
      <w:r w:rsidR="00A80547">
        <w:rPr>
          <w:rFonts w:ascii="Arial" w:hAnsi="Arial" w:cs="Arial"/>
          <w:sz w:val="24"/>
          <w:szCs w:val="24"/>
        </w:rPr>
        <w:t xml:space="preserve"> casado sob o regime de separação convencional de bens, seria uma forma de </w:t>
      </w:r>
      <w:r w:rsidR="00AE6453">
        <w:rPr>
          <w:rFonts w:ascii="Arial" w:hAnsi="Arial" w:cs="Arial"/>
          <w:sz w:val="24"/>
          <w:szCs w:val="24"/>
        </w:rPr>
        <w:t>des</w:t>
      </w:r>
      <w:r w:rsidR="00A80547">
        <w:rPr>
          <w:rFonts w:ascii="Arial" w:hAnsi="Arial" w:cs="Arial"/>
          <w:sz w:val="24"/>
          <w:szCs w:val="24"/>
        </w:rPr>
        <w:t>amparar o consorte</w:t>
      </w:r>
      <w:r w:rsidR="00276238">
        <w:rPr>
          <w:rFonts w:ascii="Arial" w:hAnsi="Arial" w:cs="Arial"/>
          <w:sz w:val="24"/>
          <w:szCs w:val="24"/>
        </w:rPr>
        <w:t xml:space="preserve"> (</w:t>
      </w:r>
      <w:r w:rsidR="00A80547">
        <w:rPr>
          <w:rFonts w:ascii="Arial" w:hAnsi="Arial" w:cs="Arial"/>
          <w:sz w:val="24"/>
          <w:szCs w:val="24"/>
        </w:rPr>
        <w:t>já que</w:t>
      </w:r>
      <w:r w:rsidR="00AE6453">
        <w:rPr>
          <w:rFonts w:ascii="Arial" w:hAnsi="Arial" w:cs="Arial"/>
          <w:sz w:val="24"/>
          <w:szCs w:val="24"/>
        </w:rPr>
        <w:t xml:space="preserve">, nesse regime de bens, </w:t>
      </w:r>
      <w:r w:rsidR="00A80547">
        <w:rPr>
          <w:rFonts w:ascii="Arial" w:hAnsi="Arial" w:cs="Arial"/>
          <w:sz w:val="24"/>
          <w:szCs w:val="24"/>
        </w:rPr>
        <w:t xml:space="preserve">não </w:t>
      </w:r>
      <w:r w:rsidR="00AE6453">
        <w:rPr>
          <w:rFonts w:ascii="Arial" w:hAnsi="Arial" w:cs="Arial"/>
          <w:sz w:val="24"/>
          <w:szCs w:val="24"/>
        </w:rPr>
        <w:t>ostenta a posição de meeiro</w:t>
      </w:r>
      <w:r w:rsidR="00276238">
        <w:rPr>
          <w:rFonts w:ascii="Arial" w:hAnsi="Arial" w:cs="Arial"/>
          <w:sz w:val="24"/>
          <w:szCs w:val="24"/>
        </w:rPr>
        <w:t>)</w:t>
      </w:r>
      <w:r w:rsidR="00AE6453">
        <w:rPr>
          <w:rFonts w:ascii="Arial" w:hAnsi="Arial" w:cs="Arial"/>
          <w:sz w:val="24"/>
          <w:szCs w:val="24"/>
        </w:rPr>
        <w:t>. Afirma, nesse sentido, que há outras</w:t>
      </w:r>
      <w:r w:rsidR="00DF7337">
        <w:rPr>
          <w:rFonts w:ascii="Arial" w:hAnsi="Arial" w:cs="Arial"/>
          <w:sz w:val="24"/>
          <w:szCs w:val="24"/>
        </w:rPr>
        <w:t xml:space="preserve"> maneiras de assegurar ao viúvo (</w:t>
      </w:r>
      <w:r w:rsidR="00780A85">
        <w:rPr>
          <w:rFonts w:ascii="Arial" w:hAnsi="Arial" w:cs="Arial"/>
          <w:sz w:val="24"/>
          <w:szCs w:val="24"/>
        </w:rPr>
        <w:t>que não a qualificação como herdeiro necessário</w:t>
      </w:r>
      <w:r w:rsidR="00DF7337">
        <w:rPr>
          <w:rFonts w:ascii="Arial" w:hAnsi="Arial" w:cs="Arial"/>
          <w:sz w:val="24"/>
          <w:szCs w:val="24"/>
        </w:rPr>
        <w:t>)</w:t>
      </w:r>
      <w:r w:rsidR="00AE6453">
        <w:rPr>
          <w:rFonts w:ascii="Arial" w:hAnsi="Arial" w:cs="Arial"/>
          <w:sz w:val="24"/>
          <w:szCs w:val="24"/>
        </w:rPr>
        <w:t>,</w:t>
      </w:r>
      <w:r w:rsidR="00DF7337">
        <w:rPr>
          <w:rFonts w:ascii="Arial" w:hAnsi="Arial" w:cs="Arial"/>
          <w:sz w:val="24"/>
          <w:szCs w:val="24"/>
        </w:rPr>
        <w:t xml:space="preserve"> </w:t>
      </w:r>
      <w:r w:rsidR="00780A85">
        <w:rPr>
          <w:rFonts w:ascii="Arial" w:hAnsi="Arial" w:cs="Arial"/>
          <w:sz w:val="24"/>
          <w:szCs w:val="24"/>
        </w:rPr>
        <w:t>os recursos do falecido, tal como a estipulação de usufruto vitalício a seu favor</w:t>
      </w:r>
      <w:r w:rsidR="00276238">
        <w:rPr>
          <w:rStyle w:val="Refdenotaderodap"/>
          <w:rFonts w:ascii="Arial" w:hAnsi="Arial" w:cs="Arial"/>
          <w:sz w:val="24"/>
          <w:szCs w:val="24"/>
        </w:rPr>
        <w:footnoteReference w:id="75"/>
      </w:r>
      <w:r w:rsidR="00780A85">
        <w:rPr>
          <w:rFonts w:ascii="Arial" w:hAnsi="Arial" w:cs="Arial"/>
          <w:sz w:val="24"/>
          <w:szCs w:val="24"/>
        </w:rPr>
        <w:t>.</w:t>
      </w:r>
    </w:p>
    <w:p w:rsidR="00773C89" w:rsidRPr="00294FAA" w:rsidRDefault="00773C89" w:rsidP="00E63780">
      <w:pPr>
        <w:tabs>
          <w:tab w:val="left" w:pos="4830"/>
        </w:tabs>
        <w:ind w:firstLine="851"/>
        <w:jc w:val="both"/>
        <w:rPr>
          <w:rFonts w:ascii="Arial" w:hAnsi="Arial" w:cs="Arial"/>
          <w:sz w:val="24"/>
          <w:szCs w:val="24"/>
        </w:rPr>
      </w:pPr>
      <w:r>
        <w:rPr>
          <w:rFonts w:ascii="Arial" w:hAnsi="Arial" w:cs="Arial"/>
          <w:sz w:val="24"/>
          <w:szCs w:val="24"/>
        </w:rPr>
        <w:t xml:space="preserve">Maria Berenice Dias, nesse sentido, consigna que considerar o cônjuge casado sob o regime da separação convencional de bens como herdeiro necessário seria violar o princípio da liberdade, afirmando que </w:t>
      </w:r>
      <w:r w:rsidRPr="00294FAA">
        <w:rPr>
          <w:rFonts w:ascii="Arial" w:hAnsi="Arial" w:cs="Arial"/>
          <w:sz w:val="24"/>
          <w:szCs w:val="24"/>
        </w:rPr>
        <w:t>“não dá para aceitar que alguém não tenha o direito de casar e dispor da forma que lhe aprouver sobre o destino de seu patrimônio após o seu falecimento”</w:t>
      </w:r>
      <w:r w:rsidRPr="00294FAA">
        <w:rPr>
          <w:rStyle w:val="Refdenotaderodap"/>
          <w:rFonts w:ascii="Arial" w:hAnsi="Arial" w:cs="Arial"/>
          <w:sz w:val="24"/>
          <w:szCs w:val="24"/>
        </w:rPr>
        <w:footnoteReference w:id="76"/>
      </w:r>
      <w:r w:rsidRPr="00294FAA">
        <w:rPr>
          <w:rFonts w:ascii="Arial" w:hAnsi="Arial" w:cs="Arial"/>
          <w:sz w:val="24"/>
          <w:szCs w:val="24"/>
        </w:rPr>
        <w:t>.</w:t>
      </w:r>
    </w:p>
    <w:p w:rsidR="00773C89" w:rsidRPr="00773C89" w:rsidRDefault="00773C89" w:rsidP="00E63780">
      <w:pPr>
        <w:tabs>
          <w:tab w:val="left" w:pos="4830"/>
        </w:tabs>
        <w:ind w:firstLine="851"/>
        <w:jc w:val="both"/>
        <w:rPr>
          <w:rFonts w:ascii="Arial" w:hAnsi="Arial" w:cs="Arial"/>
          <w:sz w:val="24"/>
          <w:szCs w:val="24"/>
        </w:rPr>
      </w:pPr>
      <w:r w:rsidRPr="00773C89">
        <w:rPr>
          <w:rFonts w:ascii="Arial" w:hAnsi="Arial" w:cs="Arial"/>
          <w:sz w:val="24"/>
          <w:szCs w:val="24"/>
        </w:rPr>
        <w:t xml:space="preserve">Assim, retrata que </w:t>
      </w:r>
      <w:r w:rsidR="00580859">
        <w:rPr>
          <w:rFonts w:ascii="Arial" w:hAnsi="Arial" w:cs="Arial"/>
          <w:sz w:val="24"/>
          <w:szCs w:val="24"/>
        </w:rPr>
        <w:t xml:space="preserve">esse entendimento </w:t>
      </w:r>
      <w:r w:rsidRPr="00773C89">
        <w:rPr>
          <w:rFonts w:ascii="Arial" w:hAnsi="Arial" w:cs="Arial"/>
          <w:sz w:val="24"/>
          <w:szCs w:val="24"/>
        </w:rPr>
        <w:t>impede o casamento a quem já possui filhos, uma vez que, acaso o cônjuge queira casar sob o regime da separação convencional de bens para preservar seu patrimônio em benefício dos descendentes, terá sua vontade cerceada pela norma que, após sua morte, alterará o destino do acervo</w:t>
      </w:r>
      <w:r>
        <w:rPr>
          <w:rStyle w:val="Refdenotaderodap"/>
          <w:rFonts w:ascii="Arial" w:hAnsi="Arial" w:cs="Arial"/>
          <w:sz w:val="24"/>
          <w:szCs w:val="24"/>
        </w:rPr>
        <w:footnoteReference w:id="77"/>
      </w:r>
      <w:r w:rsidRPr="00773C89">
        <w:rPr>
          <w:rFonts w:ascii="Arial" w:hAnsi="Arial" w:cs="Arial"/>
          <w:sz w:val="24"/>
          <w:szCs w:val="24"/>
        </w:rPr>
        <w:t>.</w:t>
      </w:r>
    </w:p>
    <w:p w:rsidR="009F2EEA" w:rsidRDefault="00132F27" w:rsidP="00E63780">
      <w:pPr>
        <w:autoSpaceDE w:val="0"/>
        <w:autoSpaceDN w:val="0"/>
        <w:adjustRightInd w:val="0"/>
        <w:ind w:firstLine="851"/>
        <w:jc w:val="both"/>
        <w:rPr>
          <w:rFonts w:ascii="Arial" w:hAnsi="Arial" w:cs="Arial"/>
          <w:iCs/>
          <w:sz w:val="24"/>
          <w:szCs w:val="24"/>
        </w:rPr>
      </w:pPr>
      <w:r>
        <w:rPr>
          <w:rFonts w:ascii="Arial" w:hAnsi="Arial" w:cs="Arial"/>
          <w:sz w:val="24"/>
          <w:szCs w:val="24"/>
        </w:rPr>
        <w:t>Assim,</w:t>
      </w:r>
      <w:r w:rsidR="00A921C3">
        <w:rPr>
          <w:rFonts w:ascii="Arial" w:hAnsi="Arial" w:cs="Arial"/>
          <w:sz w:val="24"/>
          <w:szCs w:val="24"/>
        </w:rPr>
        <w:t xml:space="preserve"> </w:t>
      </w:r>
      <w:r w:rsidR="00303A76">
        <w:rPr>
          <w:rFonts w:ascii="Arial" w:hAnsi="Arial" w:cs="Arial"/>
          <w:sz w:val="24"/>
          <w:szCs w:val="24"/>
        </w:rPr>
        <w:t xml:space="preserve">de acordo com esta doutrina, </w:t>
      </w:r>
      <w:r w:rsidR="00A921C3" w:rsidRPr="00B348D0">
        <w:rPr>
          <w:rFonts w:ascii="Arial" w:hAnsi="Arial" w:cs="Arial"/>
          <w:sz w:val="24"/>
          <w:szCs w:val="24"/>
        </w:rPr>
        <w:t xml:space="preserve">o </w:t>
      </w:r>
      <w:r w:rsidR="00A921C3" w:rsidRPr="00B348D0">
        <w:rPr>
          <w:rFonts w:ascii="Arial" w:hAnsi="Arial" w:cs="Arial"/>
          <w:iCs/>
          <w:sz w:val="24"/>
          <w:szCs w:val="24"/>
        </w:rPr>
        <w:t>patrimônio que permaneceu incomunicável em vida não deve</w:t>
      </w:r>
      <w:r w:rsidR="009F2EEA">
        <w:rPr>
          <w:rFonts w:ascii="Arial" w:hAnsi="Arial" w:cs="Arial"/>
          <w:iCs/>
          <w:sz w:val="24"/>
          <w:szCs w:val="24"/>
        </w:rPr>
        <w:t>ria</w:t>
      </w:r>
      <w:r w:rsidR="00A921C3" w:rsidRPr="00B348D0">
        <w:rPr>
          <w:rFonts w:ascii="Arial" w:hAnsi="Arial" w:cs="Arial"/>
          <w:iCs/>
          <w:sz w:val="24"/>
          <w:szCs w:val="24"/>
        </w:rPr>
        <w:t xml:space="preserve"> mudar de situação depois da morte</w:t>
      </w:r>
      <w:r w:rsidR="00B43D98">
        <w:rPr>
          <w:rFonts w:ascii="Arial" w:hAnsi="Arial" w:cs="Arial"/>
          <w:iCs/>
          <w:sz w:val="24"/>
          <w:szCs w:val="24"/>
        </w:rPr>
        <w:t>, em respeito à vontade dos cônjuges declarada no pacto antenupcial.</w:t>
      </w:r>
    </w:p>
    <w:p w:rsidR="00E16231" w:rsidRDefault="00E16231" w:rsidP="00C7224D">
      <w:pPr>
        <w:autoSpaceDE w:val="0"/>
        <w:autoSpaceDN w:val="0"/>
        <w:adjustRightInd w:val="0"/>
        <w:ind w:firstLine="709"/>
        <w:jc w:val="both"/>
        <w:rPr>
          <w:rFonts w:ascii="Arial" w:hAnsi="Arial" w:cs="Arial"/>
          <w:iCs/>
          <w:sz w:val="24"/>
          <w:szCs w:val="24"/>
        </w:rPr>
      </w:pPr>
    </w:p>
    <w:p w:rsidR="00E16231" w:rsidRDefault="00E16231" w:rsidP="00E16231">
      <w:pPr>
        <w:tabs>
          <w:tab w:val="left" w:pos="4830"/>
        </w:tabs>
        <w:jc w:val="both"/>
        <w:rPr>
          <w:rFonts w:ascii="Arial" w:hAnsi="Arial" w:cs="Arial"/>
          <w:b/>
          <w:sz w:val="24"/>
          <w:szCs w:val="24"/>
        </w:rPr>
      </w:pPr>
      <w:r>
        <w:rPr>
          <w:rFonts w:ascii="Arial" w:hAnsi="Arial" w:cs="Arial"/>
          <w:b/>
          <w:sz w:val="24"/>
          <w:szCs w:val="24"/>
        </w:rPr>
        <w:t>6 RECURSO ESPECIAL Nº 992.749/MS – VALORIZAÇÃO DA VONTADE DO</w:t>
      </w:r>
      <w:r w:rsidR="00F22203">
        <w:rPr>
          <w:rFonts w:ascii="Arial" w:hAnsi="Arial" w:cs="Arial"/>
          <w:b/>
          <w:sz w:val="24"/>
          <w:szCs w:val="24"/>
        </w:rPr>
        <w:t>S</w:t>
      </w:r>
      <w:r>
        <w:rPr>
          <w:rFonts w:ascii="Arial" w:hAnsi="Arial" w:cs="Arial"/>
          <w:b/>
          <w:sz w:val="24"/>
          <w:szCs w:val="24"/>
        </w:rPr>
        <w:t xml:space="preserve"> CÔNJUGES</w:t>
      </w:r>
    </w:p>
    <w:p w:rsidR="00E16231" w:rsidRDefault="00E16231" w:rsidP="00E16231">
      <w:pPr>
        <w:tabs>
          <w:tab w:val="left" w:pos="4830"/>
        </w:tabs>
        <w:jc w:val="both"/>
        <w:rPr>
          <w:rFonts w:ascii="Arial" w:hAnsi="Arial" w:cs="Arial"/>
          <w:sz w:val="24"/>
          <w:szCs w:val="24"/>
        </w:rPr>
      </w:pPr>
    </w:p>
    <w:p w:rsidR="00E16231" w:rsidRDefault="00E16231" w:rsidP="00E63780">
      <w:pPr>
        <w:tabs>
          <w:tab w:val="left" w:pos="4830"/>
        </w:tabs>
        <w:ind w:firstLine="851"/>
        <w:jc w:val="both"/>
        <w:rPr>
          <w:rFonts w:ascii="Arial" w:hAnsi="Arial" w:cs="Arial"/>
          <w:sz w:val="24"/>
          <w:szCs w:val="24"/>
        </w:rPr>
      </w:pPr>
      <w:r>
        <w:rPr>
          <w:rFonts w:ascii="Arial" w:hAnsi="Arial" w:cs="Arial"/>
          <w:sz w:val="24"/>
          <w:szCs w:val="24"/>
        </w:rPr>
        <w:t>Em compasso com a corrente doutrinária analisada no tópico anterior, a Relatora Ministra Nancy Andrighi, em 2010, deu provimento ao Recurso Especial nº 992.749/MS, manejado pelos filhos do cônjuge falecido. Na insurgência, os filhos combatiam a decisão</w:t>
      </w:r>
      <w:r>
        <w:rPr>
          <w:rStyle w:val="Refdenotaderodap"/>
          <w:rFonts w:ascii="Arial" w:hAnsi="Arial" w:cs="Arial"/>
          <w:sz w:val="24"/>
          <w:szCs w:val="24"/>
        </w:rPr>
        <w:footnoteReference w:id="78"/>
      </w:r>
      <w:r>
        <w:rPr>
          <w:rFonts w:ascii="Arial" w:hAnsi="Arial" w:cs="Arial"/>
          <w:sz w:val="24"/>
          <w:szCs w:val="24"/>
        </w:rPr>
        <w:t xml:space="preserve"> que determinou a habilitação da consorte sobrevivente, casada sob o regime de separação convencional de bens, como herdeira necessária. </w:t>
      </w:r>
    </w:p>
    <w:p w:rsidR="00E16231" w:rsidRDefault="0032691F" w:rsidP="00E63780">
      <w:pPr>
        <w:tabs>
          <w:tab w:val="left" w:pos="4830"/>
        </w:tabs>
        <w:ind w:firstLine="851"/>
        <w:jc w:val="both"/>
        <w:rPr>
          <w:rFonts w:ascii="Arial" w:hAnsi="Arial" w:cs="Arial"/>
          <w:sz w:val="24"/>
          <w:szCs w:val="24"/>
        </w:rPr>
      </w:pPr>
      <w:r>
        <w:rPr>
          <w:rFonts w:ascii="Arial" w:hAnsi="Arial" w:cs="Arial"/>
          <w:sz w:val="24"/>
          <w:szCs w:val="24"/>
        </w:rPr>
        <w:t>No caso em análise</w:t>
      </w:r>
      <w:r w:rsidR="00450022">
        <w:rPr>
          <w:rFonts w:ascii="Arial" w:hAnsi="Arial" w:cs="Arial"/>
          <w:sz w:val="24"/>
          <w:szCs w:val="24"/>
        </w:rPr>
        <w:t>,</w:t>
      </w:r>
      <w:r w:rsidR="00E16231">
        <w:rPr>
          <w:rFonts w:ascii="Arial" w:hAnsi="Arial" w:cs="Arial"/>
          <w:sz w:val="24"/>
          <w:szCs w:val="24"/>
        </w:rPr>
        <w:t xml:space="preserve"> o pai</w:t>
      </w:r>
      <w:r>
        <w:rPr>
          <w:rFonts w:ascii="Arial" w:hAnsi="Arial" w:cs="Arial"/>
          <w:sz w:val="24"/>
          <w:szCs w:val="24"/>
        </w:rPr>
        <w:t xml:space="preserve"> dos recorrentes</w:t>
      </w:r>
      <w:r w:rsidR="00E16231">
        <w:rPr>
          <w:rFonts w:ascii="Arial" w:hAnsi="Arial" w:cs="Arial"/>
          <w:sz w:val="24"/>
          <w:szCs w:val="24"/>
        </w:rPr>
        <w:t>, após decorridos seis anos do falecimento da primeira esposa (</w:t>
      </w:r>
      <w:r w:rsidR="00E412BC">
        <w:rPr>
          <w:rFonts w:ascii="Arial" w:hAnsi="Arial" w:cs="Arial"/>
          <w:sz w:val="24"/>
          <w:szCs w:val="24"/>
        </w:rPr>
        <w:t>de cuj</w:t>
      </w:r>
      <w:r w:rsidR="00E16231">
        <w:rPr>
          <w:rFonts w:ascii="Arial" w:hAnsi="Arial" w:cs="Arial"/>
          <w:sz w:val="24"/>
          <w:szCs w:val="24"/>
        </w:rPr>
        <w:t xml:space="preserve">a união rendeu </w:t>
      </w:r>
      <w:r>
        <w:rPr>
          <w:rFonts w:ascii="Arial" w:hAnsi="Arial" w:cs="Arial"/>
          <w:sz w:val="24"/>
          <w:szCs w:val="24"/>
        </w:rPr>
        <w:t xml:space="preserve">os </w:t>
      </w:r>
      <w:r w:rsidR="00E16231">
        <w:rPr>
          <w:rFonts w:ascii="Arial" w:hAnsi="Arial" w:cs="Arial"/>
          <w:sz w:val="24"/>
          <w:szCs w:val="24"/>
        </w:rPr>
        <w:t>três filhos), celebrou um segundo casamento com mulher 30 (trinta) anos mais jovem</w:t>
      </w:r>
      <w:r>
        <w:rPr>
          <w:rFonts w:ascii="Arial" w:hAnsi="Arial" w:cs="Arial"/>
          <w:sz w:val="24"/>
          <w:szCs w:val="24"/>
        </w:rPr>
        <w:t>,</w:t>
      </w:r>
      <w:r w:rsidR="00E16231">
        <w:rPr>
          <w:rFonts w:ascii="Arial" w:hAnsi="Arial" w:cs="Arial"/>
          <w:sz w:val="24"/>
          <w:szCs w:val="24"/>
        </w:rPr>
        <w:t xml:space="preserve"> em 05 de março de 2005, quando ele estava com 51 anos de idade e ela 21 (vinte e um). Dessa segunda união não advieram filhos.</w:t>
      </w:r>
    </w:p>
    <w:p w:rsidR="00E16231" w:rsidRDefault="00E16231" w:rsidP="00E63780">
      <w:pPr>
        <w:tabs>
          <w:tab w:val="left" w:pos="4830"/>
        </w:tabs>
        <w:ind w:firstLine="851"/>
        <w:jc w:val="both"/>
        <w:rPr>
          <w:rFonts w:ascii="Arial" w:hAnsi="Arial" w:cs="Arial"/>
          <w:sz w:val="24"/>
          <w:szCs w:val="24"/>
        </w:rPr>
      </w:pPr>
      <w:r>
        <w:rPr>
          <w:rFonts w:ascii="Arial" w:hAnsi="Arial" w:cs="Arial"/>
          <w:sz w:val="24"/>
          <w:szCs w:val="24"/>
        </w:rPr>
        <w:t xml:space="preserve">Um ano após, mais especificamente em 17 de janeiro de 2006, o autor da herança veio a falecer. A viúva, contrária ao esboço de partilha formulado, postulou </w:t>
      </w:r>
      <w:r w:rsidR="0032691F">
        <w:rPr>
          <w:rFonts w:ascii="Arial" w:hAnsi="Arial" w:cs="Arial"/>
          <w:sz w:val="24"/>
          <w:szCs w:val="24"/>
        </w:rPr>
        <w:t xml:space="preserve">judicialmente a </w:t>
      </w:r>
      <w:r>
        <w:rPr>
          <w:rFonts w:ascii="Arial" w:hAnsi="Arial" w:cs="Arial"/>
          <w:sz w:val="24"/>
          <w:szCs w:val="24"/>
        </w:rPr>
        <w:t>habilitação no processo de inventário, como herdeira necessária.</w:t>
      </w:r>
    </w:p>
    <w:p w:rsidR="00E16231" w:rsidRDefault="00E16231" w:rsidP="00E63780">
      <w:pPr>
        <w:tabs>
          <w:tab w:val="left" w:pos="4830"/>
        </w:tabs>
        <w:ind w:firstLine="851"/>
        <w:jc w:val="both"/>
        <w:rPr>
          <w:rFonts w:ascii="Arial" w:hAnsi="Arial" w:cs="Arial"/>
          <w:sz w:val="24"/>
          <w:szCs w:val="24"/>
        </w:rPr>
      </w:pPr>
      <w:r>
        <w:rPr>
          <w:rFonts w:ascii="Arial" w:hAnsi="Arial" w:cs="Arial"/>
          <w:sz w:val="24"/>
          <w:szCs w:val="24"/>
        </w:rPr>
        <w:t>Em sentença, o juiz julgou procedente o pedido da autora, afirmando que apenas na hipótese de separação obrigatória de bens o cônjuge sobrevivente não é herdeiro necessário, de modo que, por se tratar de</w:t>
      </w:r>
      <w:r w:rsidR="0032691F">
        <w:rPr>
          <w:rFonts w:ascii="Arial" w:hAnsi="Arial" w:cs="Arial"/>
          <w:sz w:val="24"/>
          <w:szCs w:val="24"/>
        </w:rPr>
        <w:t xml:space="preserve"> casamento regido sob a separação convencional</w:t>
      </w:r>
      <w:r>
        <w:rPr>
          <w:rFonts w:ascii="Arial" w:hAnsi="Arial" w:cs="Arial"/>
          <w:sz w:val="24"/>
          <w:szCs w:val="24"/>
        </w:rPr>
        <w:t xml:space="preserve">, a viúva teria direito a concorrer com os descendentes do falecido sobre a herança. </w:t>
      </w:r>
    </w:p>
    <w:p w:rsidR="00E16231" w:rsidRDefault="00E16231" w:rsidP="00E63780">
      <w:pPr>
        <w:tabs>
          <w:tab w:val="left" w:pos="4830"/>
        </w:tabs>
        <w:ind w:firstLine="851"/>
        <w:jc w:val="both"/>
        <w:rPr>
          <w:rFonts w:ascii="Arial" w:hAnsi="Arial" w:cs="Arial"/>
          <w:sz w:val="24"/>
          <w:szCs w:val="24"/>
        </w:rPr>
      </w:pPr>
      <w:r>
        <w:rPr>
          <w:rFonts w:ascii="Arial" w:hAnsi="Arial" w:cs="Arial"/>
          <w:sz w:val="24"/>
          <w:szCs w:val="24"/>
        </w:rPr>
        <w:t xml:space="preserve">Os recorrentes, irresignados com a decisão, interpuseram o Recurso Especial em comento, argumentando, em síntese, que o regime de separação convencional de bens do pai foi lavrado em pacto antenupcial, com todas as cláusulas de incomunicabilidade, o que </w:t>
      </w:r>
      <w:r w:rsidRPr="00502776">
        <w:rPr>
          <w:rFonts w:ascii="Arial" w:hAnsi="Arial" w:cs="Arial"/>
          <w:sz w:val="24"/>
          <w:szCs w:val="24"/>
        </w:rPr>
        <w:t>excluiria a consorte sobrevivente do rol dos herdeiros necessários.</w:t>
      </w:r>
    </w:p>
    <w:p w:rsidR="00E16231" w:rsidRDefault="00E16231" w:rsidP="00E63780">
      <w:pPr>
        <w:autoSpaceDE w:val="0"/>
        <w:autoSpaceDN w:val="0"/>
        <w:adjustRightInd w:val="0"/>
        <w:ind w:firstLine="851"/>
        <w:jc w:val="both"/>
        <w:rPr>
          <w:rFonts w:ascii="Arial" w:hAnsi="Arial" w:cs="Arial"/>
          <w:sz w:val="24"/>
          <w:szCs w:val="24"/>
        </w:rPr>
      </w:pPr>
      <w:r>
        <w:rPr>
          <w:rFonts w:ascii="Arial" w:hAnsi="Arial" w:cs="Arial"/>
          <w:sz w:val="24"/>
          <w:szCs w:val="24"/>
        </w:rPr>
        <w:t>A Ministra Nancy Andrighi, ao julgar a insurgência, considerou que, além de o pacto antenupcial ter sido firmado, voluntariamente, no sentido da separação convencional de bens, vale dizer, da incomunicabilidade de todos os bens – sejam eles adquiridos antes ou depois do casamento –, o casamento do autor da herança durou apenas 10 (dez) meses</w:t>
      </w:r>
      <w:r>
        <w:rPr>
          <w:rStyle w:val="Refdenotaderodap"/>
          <w:rFonts w:ascii="Arial" w:hAnsi="Arial" w:cs="Arial"/>
          <w:sz w:val="24"/>
          <w:szCs w:val="24"/>
        </w:rPr>
        <w:footnoteReference w:id="79"/>
      </w:r>
      <w:r>
        <w:rPr>
          <w:rFonts w:ascii="Arial" w:hAnsi="Arial" w:cs="Arial"/>
          <w:sz w:val="24"/>
          <w:szCs w:val="24"/>
        </w:rPr>
        <w:t>.</w:t>
      </w:r>
    </w:p>
    <w:p w:rsidR="00E16231" w:rsidRDefault="00E16231" w:rsidP="00E63780">
      <w:pPr>
        <w:tabs>
          <w:tab w:val="left" w:pos="4830"/>
        </w:tabs>
        <w:ind w:firstLine="851"/>
        <w:jc w:val="both"/>
        <w:rPr>
          <w:rFonts w:ascii="Arial" w:hAnsi="Arial" w:cs="Arial"/>
          <w:i/>
          <w:sz w:val="24"/>
          <w:szCs w:val="24"/>
        </w:rPr>
      </w:pPr>
      <w:r>
        <w:rPr>
          <w:rFonts w:ascii="Arial" w:hAnsi="Arial" w:cs="Arial"/>
          <w:sz w:val="24"/>
          <w:szCs w:val="24"/>
        </w:rPr>
        <w:lastRenderedPageBreak/>
        <w:t xml:space="preserve">Assim, seguindo a linha de pensamento de Miguel Reale, a Ministra consignou que o termo “obrigatória” previsto no artigo 1.829, inciso I, do Código Civil, diz respeito à força normativa do gênero separação de bens, e não à espécie legal de separação de bens. Assim, sustenta que </w:t>
      </w:r>
      <w:r w:rsidRPr="00294FAA">
        <w:rPr>
          <w:rFonts w:ascii="Arial" w:hAnsi="Arial" w:cs="Arial"/>
          <w:sz w:val="24"/>
          <w:szCs w:val="24"/>
        </w:rPr>
        <w:t>“a melhor interpretação é aquela que prima pela valorização da vontade das partes na escolha do regime de bens, mantendo-a intacta, assim na vida como na morte dos cônjuges”</w:t>
      </w:r>
      <w:r w:rsidRPr="00294FAA">
        <w:rPr>
          <w:rStyle w:val="Refdenotaderodap"/>
          <w:rFonts w:ascii="Arial" w:hAnsi="Arial" w:cs="Arial"/>
          <w:sz w:val="24"/>
          <w:szCs w:val="24"/>
        </w:rPr>
        <w:footnoteReference w:id="80"/>
      </w:r>
      <w:r w:rsidRPr="00294FAA">
        <w:rPr>
          <w:rFonts w:ascii="Arial" w:hAnsi="Arial" w:cs="Arial"/>
          <w:sz w:val="24"/>
          <w:szCs w:val="24"/>
        </w:rPr>
        <w:t>.</w:t>
      </w:r>
    </w:p>
    <w:p w:rsidR="00E16231" w:rsidRPr="002044B4" w:rsidRDefault="00E16231" w:rsidP="00E63780">
      <w:pPr>
        <w:tabs>
          <w:tab w:val="left" w:pos="4830"/>
        </w:tabs>
        <w:ind w:firstLine="851"/>
        <w:jc w:val="both"/>
        <w:rPr>
          <w:rFonts w:ascii="Arial" w:hAnsi="Arial" w:cs="Arial"/>
          <w:sz w:val="24"/>
          <w:szCs w:val="24"/>
        </w:rPr>
      </w:pPr>
      <w:r>
        <w:rPr>
          <w:rFonts w:ascii="Arial" w:hAnsi="Arial" w:cs="Arial"/>
          <w:sz w:val="24"/>
          <w:szCs w:val="24"/>
        </w:rPr>
        <w:t>Destarte, por ser um ato de liberdade conjuntamente exercido, celebrado por meio de um contrato solene, o regime de separação de bens não poderia ser limitado pelo direito sucessório</w:t>
      </w:r>
      <w:r>
        <w:rPr>
          <w:rStyle w:val="Refdenotaderodap"/>
          <w:rFonts w:ascii="Arial" w:hAnsi="Arial" w:cs="Arial"/>
          <w:sz w:val="24"/>
          <w:szCs w:val="24"/>
        </w:rPr>
        <w:footnoteReference w:id="81"/>
      </w:r>
      <w:r>
        <w:rPr>
          <w:rFonts w:ascii="Arial" w:hAnsi="Arial" w:cs="Arial"/>
          <w:sz w:val="24"/>
          <w:szCs w:val="24"/>
        </w:rPr>
        <w:t>.</w:t>
      </w:r>
    </w:p>
    <w:p w:rsidR="001D0B0A" w:rsidRPr="00294FAA" w:rsidRDefault="008534E9" w:rsidP="00E63780">
      <w:pPr>
        <w:autoSpaceDE w:val="0"/>
        <w:autoSpaceDN w:val="0"/>
        <w:adjustRightInd w:val="0"/>
        <w:ind w:firstLine="851"/>
        <w:jc w:val="both"/>
        <w:rPr>
          <w:rFonts w:ascii="Arial" w:hAnsi="Arial" w:cs="Arial"/>
          <w:sz w:val="24"/>
          <w:szCs w:val="24"/>
        </w:rPr>
      </w:pPr>
      <w:r>
        <w:rPr>
          <w:rFonts w:ascii="Arial" w:hAnsi="Arial" w:cs="Arial"/>
          <w:sz w:val="24"/>
          <w:szCs w:val="24"/>
        </w:rPr>
        <w:t xml:space="preserve">Nesse sentido, a Ministra sustentou que em homenagem ao princípio da boa-fé objetiva, a cônjuge sobrevivente, após manifestar de forma livre e lícita a sua vontade, não poderia dela se esquivar, </w:t>
      </w:r>
      <w:r w:rsidR="001D0B0A" w:rsidRPr="00294FAA">
        <w:rPr>
          <w:rFonts w:ascii="Arial" w:hAnsi="Arial" w:cs="Arial"/>
          <w:sz w:val="24"/>
          <w:szCs w:val="24"/>
        </w:rPr>
        <w:t>“</w:t>
      </w:r>
      <w:r w:rsidRPr="00294FAA">
        <w:rPr>
          <w:rFonts w:ascii="Arial" w:hAnsi="Arial" w:cs="Arial"/>
          <w:sz w:val="24"/>
          <w:szCs w:val="24"/>
        </w:rPr>
        <w:t>arvorando-se em direito do qual solenemente declinou, ao estipular, no processo de habilitação para o casamento, conjuntamente com o autor da herança, o regime de separação convencional de bens, em pacto antenupcial por escritura pública.</w:t>
      </w:r>
      <w:r w:rsidR="006453A6" w:rsidRPr="00294FAA">
        <w:rPr>
          <w:rStyle w:val="Refdenotaderodap"/>
          <w:rFonts w:ascii="Arial" w:hAnsi="Arial" w:cs="Arial"/>
          <w:sz w:val="24"/>
          <w:szCs w:val="24"/>
        </w:rPr>
        <w:footnoteReference w:id="82"/>
      </w:r>
      <w:r w:rsidRPr="00294FAA">
        <w:rPr>
          <w:rFonts w:ascii="Arial" w:hAnsi="Arial" w:cs="Arial"/>
          <w:sz w:val="24"/>
          <w:szCs w:val="24"/>
        </w:rPr>
        <w:t>”</w:t>
      </w:r>
    </w:p>
    <w:p w:rsidR="008534E9" w:rsidRDefault="008534E9" w:rsidP="00E63780">
      <w:pPr>
        <w:autoSpaceDE w:val="0"/>
        <w:autoSpaceDN w:val="0"/>
        <w:adjustRightInd w:val="0"/>
        <w:ind w:firstLine="851"/>
        <w:jc w:val="both"/>
        <w:rPr>
          <w:rFonts w:ascii="Arial" w:hAnsi="Arial" w:cs="Arial"/>
          <w:sz w:val="24"/>
          <w:szCs w:val="24"/>
        </w:rPr>
      </w:pPr>
      <w:r>
        <w:rPr>
          <w:rFonts w:ascii="Arial" w:hAnsi="Arial" w:cs="Arial"/>
          <w:sz w:val="24"/>
          <w:szCs w:val="24"/>
        </w:rPr>
        <w:t>Desse modo, a Relatora deu provimento ao recurso interposto pelos descendentes do falecido, consignando que entendimento diverso suscitaria antinomia com o artigo 1.687, do Código Civil, bem como quebra da unidade sistemática da lei e aniquilamento do regime de bens estipulado em vida.</w:t>
      </w:r>
    </w:p>
    <w:p w:rsidR="009F2EEA" w:rsidRDefault="009F2EEA" w:rsidP="0048271E">
      <w:pPr>
        <w:tabs>
          <w:tab w:val="left" w:pos="4830"/>
        </w:tabs>
        <w:jc w:val="both"/>
        <w:rPr>
          <w:rFonts w:ascii="Arial" w:hAnsi="Arial" w:cs="Arial"/>
          <w:sz w:val="24"/>
          <w:szCs w:val="24"/>
        </w:rPr>
      </w:pPr>
    </w:p>
    <w:p w:rsidR="0048271E" w:rsidRPr="00DD39E4" w:rsidRDefault="00DD39E4" w:rsidP="0048271E">
      <w:pPr>
        <w:tabs>
          <w:tab w:val="left" w:pos="4830"/>
        </w:tabs>
        <w:jc w:val="both"/>
        <w:rPr>
          <w:rFonts w:ascii="Arial" w:hAnsi="Arial" w:cs="Arial"/>
          <w:b/>
          <w:sz w:val="24"/>
          <w:szCs w:val="24"/>
        </w:rPr>
      </w:pPr>
      <w:r w:rsidRPr="00DD39E4">
        <w:rPr>
          <w:rFonts w:ascii="Arial" w:hAnsi="Arial" w:cs="Arial"/>
          <w:b/>
          <w:sz w:val="24"/>
          <w:szCs w:val="24"/>
        </w:rPr>
        <w:t>7</w:t>
      </w:r>
      <w:r w:rsidR="0048271E" w:rsidRPr="00DD39E4">
        <w:rPr>
          <w:rFonts w:ascii="Arial" w:hAnsi="Arial" w:cs="Arial"/>
          <w:b/>
          <w:sz w:val="24"/>
          <w:szCs w:val="24"/>
        </w:rPr>
        <w:t xml:space="preserve"> CONJUGE SUPÉRSTITE COMO HERDEIRO NECESSÁRIO </w:t>
      </w:r>
    </w:p>
    <w:p w:rsidR="003D7560" w:rsidRDefault="003D7560" w:rsidP="007F1654">
      <w:pPr>
        <w:tabs>
          <w:tab w:val="left" w:pos="4830"/>
        </w:tabs>
        <w:jc w:val="both"/>
        <w:rPr>
          <w:rFonts w:ascii="Arial" w:hAnsi="Arial" w:cs="Arial"/>
          <w:sz w:val="24"/>
          <w:szCs w:val="24"/>
        </w:rPr>
      </w:pPr>
    </w:p>
    <w:p w:rsidR="006A042F" w:rsidRDefault="002039E1" w:rsidP="00E63780">
      <w:pPr>
        <w:tabs>
          <w:tab w:val="left" w:pos="4830"/>
        </w:tabs>
        <w:ind w:firstLine="851"/>
        <w:jc w:val="both"/>
        <w:rPr>
          <w:rFonts w:ascii="Arial" w:hAnsi="Arial" w:cs="Arial"/>
          <w:sz w:val="24"/>
          <w:szCs w:val="24"/>
        </w:rPr>
      </w:pPr>
      <w:r>
        <w:rPr>
          <w:rFonts w:ascii="Arial" w:hAnsi="Arial" w:cs="Arial"/>
          <w:sz w:val="24"/>
          <w:szCs w:val="24"/>
        </w:rPr>
        <w:t xml:space="preserve">Ao revés da corrente doutrinária analisada anteriormente, a compreensão </w:t>
      </w:r>
      <w:r w:rsidR="00580859">
        <w:rPr>
          <w:rFonts w:ascii="Arial" w:hAnsi="Arial" w:cs="Arial"/>
          <w:sz w:val="24"/>
          <w:szCs w:val="24"/>
        </w:rPr>
        <w:t>ora analisada</w:t>
      </w:r>
      <w:r>
        <w:rPr>
          <w:rFonts w:ascii="Arial" w:hAnsi="Arial" w:cs="Arial"/>
          <w:sz w:val="24"/>
          <w:szCs w:val="24"/>
        </w:rPr>
        <w:t xml:space="preserve"> compreende que </w:t>
      </w:r>
      <w:r w:rsidR="006A042F">
        <w:rPr>
          <w:rFonts w:ascii="Arial" w:hAnsi="Arial" w:cs="Arial"/>
          <w:sz w:val="24"/>
          <w:szCs w:val="24"/>
        </w:rPr>
        <w:t xml:space="preserve">a exceção </w:t>
      </w:r>
      <w:r w:rsidR="007310D4">
        <w:rPr>
          <w:rFonts w:ascii="Arial" w:hAnsi="Arial" w:cs="Arial"/>
          <w:sz w:val="24"/>
          <w:szCs w:val="24"/>
        </w:rPr>
        <w:t xml:space="preserve">à concorrência do cônjuge sobre a herança do falecido, </w:t>
      </w:r>
      <w:r w:rsidR="006A042F">
        <w:rPr>
          <w:rFonts w:ascii="Arial" w:hAnsi="Arial" w:cs="Arial"/>
          <w:sz w:val="24"/>
          <w:szCs w:val="24"/>
        </w:rPr>
        <w:t xml:space="preserve">prevista no artigo 1.829, inciso I, do Código Civil, </w:t>
      </w:r>
      <w:r w:rsidR="007310D4">
        <w:rPr>
          <w:rFonts w:ascii="Arial" w:hAnsi="Arial" w:cs="Arial"/>
          <w:sz w:val="24"/>
          <w:szCs w:val="24"/>
        </w:rPr>
        <w:t>ao</w:t>
      </w:r>
      <w:r w:rsidR="006A042F">
        <w:rPr>
          <w:rFonts w:ascii="Arial" w:hAnsi="Arial" w:cs="Arial"/>
          <w:sz w:val="24"/>
          <w:szCs w:val="24"/>
        </w:rPr>
        <w:t xml:space="preserve"> mencionar “separação obrigatória”, quis se referir </w:t>
      </w:r>
      <w:r w:rsidR="007310D4">
        <w:rPr>
          <w:rFonts w:ascii="Arial" w:hAnsi="Arial" w:cs="Arial"/>
          <w:sz w:val="24"/>
          <w:szCs w:val="24"/>
        </w:rPr>
        <w:t xml:space="preserve">apenas </w:t>
      </w:r>
      <w:r w:rsidR="006A042F">
        <w:rPr>
          <w:rFonts w:ascii="Arial" w:hAnsi="Arial" w:cs="Arial"/>
          <w:sz w:val="24"/>
          <w:szCs w:val="24"/>
        </w:rPr>
        <w:t xml:space="preserve">à separação legal. </w:t>
      </w:r>
    </w:p>
    <w:p w:rsidR="006E1811" w:rsidRDefault="006E1811" w:rsidP="00E63780">
      <w:pPr>
        <w:tabs>
          <w:tab w:val="left" w:pos="4830"/>
        </w:tabs>
        <w:ind w:firstLine="851"/>
        <w:jc w:val="both"/>
        <w:rPr>
          <w:rFonts w:ascii="Arial" w:hAnsi="Arial" w:cs="Arial"/>
          <w:sz w:val="24"/>
          <w:szCs w:val="24"/>
        </w:rPr>
      </w:pPr>
      <w:r>
        <w:rPr>
          <w:rFonts w:ascii="Arial" w:hAnsi="Arial" w:cs="Arial"/>
          <w:sz w:val="24"/>
          <w:szCs w:val="24"/>
        </w:rPr>
        <w:t>Nesse sentido, Flávio Tartuce rebate o argumento de Miguel Reale no tocante à consideração do termo “separação obrigatória” como gênero</w:t>
      </w:r>
      <w:r w:rsidR="00867361">
        <w:rPr>
          <w:rFonts w:ascii="Arial" w:hAnsi="Arial" w:cs="Arial"/>
          <w:sz w:val="24"/>
          <w:szCs w:val="24"/>
        </w:rPr>
        <w:t>:</w:t>
      </w:r>
    </w:p>
    <w:p w:rsidR="00867361" w:rsidRDefault="00867361" w:rsidP="003D7560">
      <w:pPr>
        <w:tabs>
          <w:tab w:val="left" w:pos="4830"/>
        </w:tabs>
        <w:ind w:firstLine="709"/>
        <w:jc w:val="both"/>
        <w:rPr>
          <w:rFonts w:ascii="Arial" w:hAnsi="Arial" w:cs="Arial"/>
          <w:sz w:val="24"/>
          <w:szCs w:val="24"/>
        </w:rPr>
      </w:pPr>
    </w:p>
    <w:p w:rsidR="006E1811" w:rsidRPr="006E1811" w:rsidRDefault="006E1811" w:rsidP="006E1811">
      <w:pPr>
        <w:autoSpaceDE w:val="0"/>
        <w:autoSpaceDN w:val="0"/>
        <w:adjustRightInd w:val="0"/>
        <w:spacing w:line="240" w:lineRule="auto"/>
        <w:ind w:left="2268"/>
        <w:jc w:val="both"/>
        <w:rPr>
          <w:rFonts w:ascii="Arial" w:hAnsi="Arial" w:cs="Arial"/>
          <w:color w:val="000000" w:themeColor="text1"/>
          <w:sz w:val="24"/>
          <w:szCs w:val="24"/>
        </w:rPr>
      </w:pPr>
      <w:r w:rsidRPr="006E1811">
        <w:rPr>
          <w:rFonts w:ascii="Arial" w:hAnsi="Arial" w:cs="Arial"/>
          <w:color w:val="000000" w:themeColor="text1"/>
          <w:sz w:val="20"/>
          <w:szCs w:val="20"/>
        </w:rPr>
        <w:lastRenderedPageBreak/>
        <w:t>A separação obrigatória não é gênero e não congrega duas espécies.</w:t>
      </w:r>
      <w:r>
        <w:rPr>
          <w:rFonts w:ascii="Arial" w:hAnsi="Arial" w:cs="Arial"/>
          <w:color w:val="000000" w:themeColor="text1"/>
          <w:sz w:val="20"/>
          <w:szCs w:val="20"/>
        </w:rPr>
        <w:t xml:space="preserve"> </w:t>
      </w:r>
      <w:r w:rsidRPr="006E1811">
        <w:rPr>
          <w:rFonts w:ascii="Arial" w:hAnsi="Arial" w:cs="Arial"/>
          <w:color w:val="000000" w:themeColor="text1"/>
          <w:sz w:val="20"/>
          <w:szCs w:val="20"/>
        </w:rPr>
        <w:t xml:space="preserve">Trata-se de equívoco conceitual. A </w:t>
      </w:r>
      <w:r w:rsidRPr="006E1811">
        <w:rPr>
          <w:rFonts w:ascii="Arial" w:hAnsi="Arial" w:cs="Arial"/>
          <w:i/>
          <w:iCs/>
          <w:color w:val="000000" w:themeColor="text1"/>
          <w:sz w:val="20"/>
          <w:szCs w:val="20"/>
        </w:rPr>
        <w:t xml:space="preserve">separação de bens </w:t>
      </w:r>
      <w:r w:rsidRPr="006E1811">
        <w:rPr>
          <w:rFonts w:ascii="Arial" w:hAnsi="Arial" w:cs="Arial"/>
          <w:color w:val="000000" w:themeColor="text1"/>
          <w:sz w:val="20"/>
          <w:szCs w:val="20"/>
        </w:rPr>
        <w:t>é que constitui gênero que</w:t>
      </w:r>
      <w:r>
        <w:rPr>
          <w:rFonts w:ascii="Arial" w:hAnsi="Arial" w:cs="Arial"/>
          <w:color w:val="000000" w:themeColor="text1"/>
          <w:sz w:val="20"/>
          <w:szCs w:val="20"/>
        </w:rPr>
        <w:t xml:space="preserve"> </w:t>
      </w:r>
      <w:r w:rsidRPr="006E1811">
        <w:rPr>
          <w:rFonts w:ascii="Arial" w:hAnsi="Arial" w:cs="Arial"/>
          <w:color w:val="000000" w:themeColor="text1"/>
          <w:sz w:val="20"/>
          <w:szCs w:val="20"/>
        </w:rPr>
        <w:t>congrega duas espécies: (a) separação convencional (que decorre de pacto</w:t>
      </w:r>
      <w:r>
        <w:rPr>
          <w:rFonts w:ascii="Arial" w:hAnsi="Arial" w:cs="Arial"/>
          <w:color w:val="000000" w:themeColor="text1"/>
          <w:sz w:val="20"/>
          <w:szCs w:val="20"/>
        </w:rPr>
        <w:t xml:space="preserve"> </w:t>
      </w:r>
      <w:r w:rsidRPr="006E1811">
        <w:rPr>
          <w:rFonts w:ascii="Arial" w:hAnsi="Arial" w:cs="Arial"/>
          <w:color w:val="000000" w:themeColor="text1"/>
          <w:sz w:val="20"/>
          <w:szCs w:val="20"/>
        </w:rPr>
        <w:t>antenupcial) e (b) separação obrigatória ou legal (regra restritiva prevista no art.</w:t>
      </w:r>
      <w:r>
        <w:rPr>
          <w:rFonts w:ascii="Arial" w:hAnsi="Arial" w:cs="Arial"/>
          <w:color w:val="000000" w:themeColor="text1"/>
          <w:sz w:val="20"/>
          <w:szCs w:val="20"/>
        </w:rPr>
        <w:t xml:space="preserve"> </w:t>
      </w:r>
      <w:r w:rsidRPr="006E1811">
        <w:rPr>
          <w:rFonts w:ascii="Arial" w:hAnsi="Arial" w:cs="Arial"/>
          <w:color w:val="000000" w:themeColor="text1"/>
          <w:sz w:val="20"/>
          <w:szCs w:val="20"/>
        </w:rPr>
        <w:t>1.641)</w:t>
      </w:r>
      <w:r w:rsidR="00A416A1">
        <w:rPr>
          <w:rStyle w:val="Refdenotaderodap"/>
          <w:rFonts w:ascii="Arial" w:hAnsi="Arial" w:cs="Arial"/>
          <w:color w:val="000000" w:themeColor="text1"/>
          <w:sz w:val="20"/>
          <w:szCs w:val="20"/>
        </w:rPr>
        <w:footnoteReference w:id="83"/>
      </w:r>
      <w:r w:rsidRPr="006E1811">
        <w:rPr>
          <w:rFonts w:ascii="Arial" w:hAnsi="Arial" w:cs="Arial"/>
          <w:color w:val="000000" w:themeColor="text1"/>
          <w:sz w:val="20"/>
          <w:szCs w:val="20"/>
        </w:rPr>
        <w:t>.</w:t>
      </w:r>
    </w:p>
    <w:p w:rsidR="006E1811" w:rsidRPr="006E1811" w:rsidRDefault="006E1811" w:rsidP="006E1811">
      <w:pPr>
        <w:tabs>
          <w:tab w:val="left" w:pos="4830"/>
        </w:tabs>
        <w:ind w:left="2268" w:firstLine="709"/>
        <w:jc w:val="both"/>
        <w:rPr>
          <w:rFonts w:ascii="Arial" w:hAnsi="Arial" w:cs="Arial"/>
          <w:color w:val="000000" w:themeColor="text1"/>
          <w:sz w:val="24"/>
          <w:szCs w:val="24"/>
        </w:rPr>
      </w:pPr>
    </w:p>
    <w:p w:rsidR="001D7B12" w:rsidRDefault="001D7B12" w:rsidP="00E63780">
      <w:pPr>
        <w:tabs>
          <w:tab w:val="left" w:pos="4830"/>
        </w:tabs>
        <w:ind w:firstLine="851"/>
        <w:jc w:val="both"/>
        <w:rPr>
          <w:rFonts w:ascii="Arial" w:hAnsi="Arial" w:cs="Arial"/>
          <w:sz w:val="24"/>
          <w:szCs w:val="24"/>
        </w:rPr>
      </w:pPr>
      <w:r>
        <w:rPr>
          <w:rFonts w:ascii="Arial" w:hAnsi="Arial" w:cs="Arial"/>
          <w:sz w:val="24"/>
          <w:szCs w:val="24"/>
        </w:rPr>
        <w:t>Desse modo, na hipótese de o regime de bens ser o de separação convencional de bens, o viúvo se enquadraria na regra geral, ou seja, concorreria com os descendentes e ascendentes sobre a herança do falecido.</w:t>
      </w:r>
    </w:p>
    <w:p w:rsidR="006A042F" w:rsidRDefault="006A042F" w:rsidP="00E63780">
      <w:pPr>
        <w:tabs>
          <w:tab w:val="left" w:pos="4830"/>
        </w:tabs>
        <w:ind w:firstLine="851"/>
        <w:jc w:val="both"/>
        <w:rPr>
          <w:rFonts w:ascii="Arial" w:hAnsi="Arial" w:cs="Arial"/>
          <w:sz w:val="24"/>
          <w:szCs w:val="24"/>
        </w:rPr>
      </w:pPr>
      <w:r>
        <w:rPr>
          <w:rFonts w:ascii="Arial" w:hAnsi="Arial" w:cs="Arial"/>
          <w:sz w:val="24"/>
          <w:szCs w:val="24"/>
        </w:rPr>
        <w:t xml:space="preserve">Sobre o tema, Maria Vicente de Azevedo assim </w:t>
      </w:r>
      <w:r w:rsidR="001D7B12">
        <w:rPr>
          <w:rFonts w:ascii="Arial" w:hAnsi="Arial" w:cs="Arial"/>
          <w:sz w:val="24"/>
          <w:szCs w:val="24"/>
        </w:rPr>
        <w:t>assevera:</w:t>
      </w:r>
    </w:p>
    <w:p w:rsidR="001D7B12" w:rsidRDefault="001D7B12" w:rsidP="003D7560">
      <w:pPr>
        <w:tabs>
          <w:tab w:val="left" w:pos="4830"/>
        </w:tabs>
        <w:ind w:firstLine="709"/>
        <w:jc w:val="both"/>
        <w:rPr>
          <w:rFonts w:ascii="Arial" w:hAnsi="Arial" w:cs="Arial"/>
          <w:sz w:val="24"/>
          <w:szCs w:val="24"/>
        </w:rPr>
      </w:pPr>
    </w:p>
    <w:p w:rsidR="003803C9" w:rsidRDefault="004A4967" w:rsidP="004A4967">
      <w:pPr>
        <w:tabs>
          <w:tab w:val="left" w:pos="4830"/>
        </w:tabs>
        <w:spacing w:line="240" w:lineRule="auto"/>
        <w:ind w:left="2268"/>
        <w:jc w:val="both"/>
        <w:rPr>
          <w:rFonts w:ascii="Arial" w:hAnsi="Arial" w:cs="Arial"/>
          <w:sz w:val="20"/>
          <w:szCs w:val="20"/>
        </w:rPr>
      </w:pPr>
      <w:r w:rsidRPr="004A4967">
        <w:rPr>
          <w:rFonts w:ascii="Arial" w:hAnsi="Arial" w:cs="Arial"/>
          <w:sz w:val="20"/>
          <w:szCs w:val="20"/>
        </w:rPr>
        <w:t>A enumeração é taxativa, donde ser evidente que em todos os demais casos incidirá a regra geral, que seja, de que a sucessão legitima será deferida, sucessivamente, I) aos descentes em concorrência com o cônjuge; II) aos ascendentes em concorrência com o cônjuge; III) ao cônjuge sobrevivente. A norma é tão clara que outra interpretação parece descabida (</w:t>
      </w:r>
      <w:r w:rsidRPr="004A4967">
        <w:rPr>
          <w:rFonts w:ascii="Arial" w:hAnsi="Arial" w:cs="Arial"/>
          <w:i/>
          <w:sz w:val="20"/>
          <w:szCs w:val="20"/>
        </w:rPr>
        <w:t>in claris cessat interpretatio</w:t>
      </w:r>
      <w:r w:rsidRPr="004A4967">
        <w:rPr>
          <w:rFonts w:ascii="Arial" w:hAnsi="Arial" w:cs="Arial"/>
          <w:sz w:val="20"/>
          <w:szCs w:val="20"/>
        </w:rPr>
        <w:t>).</w:t>
      </w:r>
      <w:r>
        <w:rPr>
          <w:rStyle w:val="Refdenotaderodap"/>
          <w:rFonts w:ascii="Arial" w:hAnsi="Arial" w:cs="Arial"/>
          <w:sz w:val="20"/>
          <w:szCs w:val="20"/>
        </w:rPr>
        <w:footnoteReference w:id="84"/>
      </w:r>
    </w:p>
    <w:p w:rsidR="00EC450D" w:rsidRPr="004A4967" w:rsidRDefault="00EC450D" w:rsidP="00EC450D">
      <w:pPr>
        <w:tabs>
          <w:tab w:val="left" w:pos="4830"/>
        </w:tabs>
        <w:ind w:left="2268"/>
        <w:jc w:val="both"/>
        <w:rPr>
          <w:rFonts w:ascii="Arial" w:hAnsi="Arial" w:cs="Arial"/>
          <w:sz w:val="20"/>
          <w:szCs w:val="20"/>
        </w:rPr>
      </w:pPr>
    </w:p>
    <w:p w:rsidR="002266E5" w:rsidRDefault="00193717" w:rsidP="00E63780">
      <w:pPr>
        <w:tabs>
          <w:tab w:val="left" w:pos="4830"/>
        </w:tabs>
        <w:ind w:firstLine="851"/>
        <w:jc w:val="both"/>
        <w:rPr>
          <w:rFonts w:ascii="Arial" w:hAnsi="Arial" w:cs="Arial"/>
          <w:sz w:val="24"/>
          <w:szCs w:val="24"/>
        </w:rPr>
      </w:pPr>
      <w:r>
        <w:rPr>
          <w:rFonts w:ascii="Arial" w:hAnsi="Arial" w:cs="Arial"/>
          <w:sz w:val="24"/>
          <w:szCs w:val="24"/>
        </w:rPr>
        <w:t>Washington de Barros Monteiro</w:t>
      </w:r>
      <w:r w:rsidR="007310D4">
        <w:rPr>
          <w:rStyle w:val="Refdenotaderodap"/>
          <w:rFonts w:ascii="Arial" w:hAnsi="Arial" w:cs="Arial"/>
          <w:sz w:val="24"/>
          <w:szCs w:val="24"/>
        </w:rPr>
        <w:footnoteReference w:id="85"/>
      </w:r>
      <w:r>
        <w:rPr>
          <w:rFonts w:ascii="Arial" w:hAnsi="Arial" w:cs="Arial"/>
          <w:sz w:val="24"/>
          <w:szCs w:val="24"/>
        </w:rPr>
        <w:t xml:space="preserve">, no mesmo caminhar, afirma que o adjetivo “obrigatória” foi usado pelo legislador como sinônimo de “legal”, de modo que o viúvo outrora casado sob o regime de separação convencional de bens não estaria abarcado dentre as exceções </w:t>
      </w:r>
      <w:r w:rsidR="00E21F1B">
        <w:rPr>
          <w:rFonts w:ascii="Arial" w:hAnsi="Arial" w:cs="Arial"/>
          <w:sz w:val="24"/>
          <w:szCs w:val="24"/>
        </w:rPr>
        <w:t>à concorrência sobre a herança do falecido.</w:t>
      </w:r>
    </w:p>
    <w:p w:rsidR="00EC450D" w:rsidRDefault="008104E0" w:rsidP="00E63780">
      <w:pPr>
        <w:tabs>
          <w:tab w:val="left" w:pos="4830"/>
        </w:tabs>
        <w:ind w:firstLine="851"/>
        <w:jc w:val="both"/>
        <w:rPr>
          <w:rFonts w:ascii="Arial" w:hAnsi="Arial" w:cs="Arial"/>
          <w:sz w:val="24"/>
          <w:szCs w:val="24"/>
        </w:rPr>
      </w:pPr>
      <w:r>
        <w:rPr>
          <w:rFonts w:ascii="Arial" w:hAnsi="Arial" w:cs="Arial"/>
          <w:sz w:val="24"/>
          <w:szCs w:val="24"/>
        </w:rPr>
        <w:t xml:space="preserve">Isso porque, de acordo com </w:t>
      </w:r>
      <w:r w:rsidR="00580859">
        <w:rPr>
          <w:rFonts w:ascii="Arial" w:hAnsi="Arial" w:cs="Arial"/>
          <w:sz w:val="24"/>
          <w:szCs w:val="24"/>
        </w:rPr>
        <w:t>essa doutrina</w:t>
      </w:r>
      <w:r>
        <w:rPr>
          <w:rFonts w:ascii="Arial" w:hAnsi="Arial" w:cs="Arial"/>
          <w:sz w:val="24"/>
          <w:szCs w:val="24"/>
        </w:rPr>
        <w:t>, na lei não há expressões in</w:t>
      </w:r>
      <w:r w:rsidR="00B630C3">
        <w:rPr>
          <w:rFonts w:ascii="Arial" w:hAnsi="Arial" w:cs="Arial"/>
          <w:sz w:val="24"/>
          <w:szCs w:val="24"/>
        </w:rPr>
        <w:t>ócuas e, portanto, s</w:t>
      </w:r>
      <w:r>
        <w:rPr>
          <w:rFonts w:ascii="Arial" w:hAnsi="Arial" w:cs="Arial"/>
          <w:sz w:val="24"/>
          <w:szCs w:val="24"/>
        </w:rPr>
        <w:t>e o legislador inseriu o adjetivo “obrigatória” no referido dispositivo, não há como interpretar que quis abranger, também, a separação convencional de bens. Caso quisesse, assim teria feito</w:t>
      </w:r>
      <w:r w:rsidR="00EC450D">
        <w:rPr>
          <w:rStyle w:val="Refdenotaderodap"/>
          <w:rFonts w:ascii="Arial" w:hAnsi="Arial" w:cs="Arial"/>
          <w:sz w:val="24"/>
          <w:szCs w:val="24"/>
        </w:rPr>
        <w:footnoteReference w:id="86"/>
      </w:r>
      <w:r>
        <w:rPr>
          <w:rFonts w:ascii="Arial" w:hAnsi="Arial" w:cs="Arial"/>
          <w:sz w:val="24"/>
          <w:szCs w:val="24"/>
        </w:rPr>
        <w:t xml:space="preserve">. </w:t>
      </w:r>
    </w:p>
    <w:p w:rsidR="00EC450D" w:rsidRPr="005D19B0" w:rsidRDefault="00EC450D" w:rsidP="00E63780">
      <w:pPr>
        <w:tabs>
          <w:tab w:val="left" w:pos="4830"/>
        </w:tabs>
        <w:ind w:firstLine="851"/>
        <w:jc w:val="both"/>
        <w:rPr>
          <w:rFonts w:ascii="Arial" w:hAnsi="Arial" w:cs="Arial"/>
          <w:sz w:val="24"/>
          <w:szCs w:val="24"/>
        </w:rPr>
      </w:pPr>
      <w:r>
        <w:rPr>
          <w:rFonts w:ascii="Arial" w:hAnsi="Arial" w:cs="Arial"/>
          <w:sz w:val="24"/>
          <w:szCs w:val="24"/>
        </w:rPr>
        <w:t xml:space="preserve">Sobre o tema, Zeno Veloso consigna que o artigo 1.829, inciso I, do Código Civil, </w:t>
      </w:r>
      <w:r w:rsidRPr="005D19B0">
        <w:rPr>
          <w:rFonts w:ascii="Arial" w:hAnsi="Arial" w:cs="Arial"/>
          <w:sz w:val="24"/>
          <w:szCs w:val="24"/>
        </w:rPr>
        <w:t>“indicou, expressamente, os regimes de bens do casamento em que não há concorrência sucessória entre o cônjuge sobrevivente e os descendentes do falecido”,</w:t>
      </w:r>
      <w:r>
        <w:rPr>
          <w:rFonts w:ascii="Arial" w:hAnsi="Arial" w:cs="Arial"/>
          <w:i/>
          <w:sz w:val="24"/>
          <w:szCs w:val="24"/>
        </w:rPr>
        <w:t xml:space="preserve"> </w:t>
      </w:r>
      <w:r>
        <w:rPr>
          <w:rFonts w:ascii="Arial" w:hAnsi="Arial" w:cs="Arial"/>
          <w:sz w:val="24"/>
          <w:szCs w:val="24"/>
        </w:rPr>
        <w:t xml:space="preserve">de modo que o regime da separação convencional de bens, por não estar referido no dispositivo, não poderia ser objeto de </w:t>
      </w:r>
      <w:r w:rsidR="005D19B0">
        <w:rPr>
          <w:rFonts w:ascii="Arial" w:hAnsi="Arial" w:cs="Arial"/>
          <w:sz w:val="24"/>
          <w:szCs w:val="24"/>
        </w:rPr>
        <w:t>alongamento</w:t>
      </w:r>
      <w:r>
        <w:rPr>
          <w:rFonts w:ascii="Arial" w:hAnsi="Arial" w:cs="Arial"/>
          <w:sz w:val="24"/>
          <w:szCs w:val="24"/>
        </w:rPr>
        <w:t xml:space="preserve"> do elenco normativo, o qual </w:t>
      </w:r>
      <w:r w:rsidRPr="005D19B0">
        <w:rPr>
          <w:rFonts w:ascii="Arial" w:hAnsi="Arial" w:cs="Arial"/>
          <w:sz w:val="24"/>
          <w:szCs w:val="24"/>
        </w:rPr>
        <w:t>“não</w:t>
      </w:r>
    </w:p>
    <w:p w:rsidR="00EC450D" w:rsidRPr="005D19B0" w:rsidRDefault="00EC450D" w:rsidP="00C17EC0">
      <w:pPr>
        <w:tabs>
          <w:tab w:val="left" w:pos="4830"/>
        </w:tabs>
        <w:jc w:val="both"/>
        <w:rPr>
          <w:rFonts w:ascii="Arial" w:hAnsi="Arial" w:cs="Arial"/>
          <w:sz w:val="24"/>
          <w:szCs w:val="24"/>
        </w:rPr>
      </w:pPr>
      <w:r w:rsidRPr="005D19B0">
        <w:rPr>
          <w:rFonts w:ascii="Arial" w:hAnsi="Arial" w:cs="Arial"/>
          <w:sz w:val="24"/>
          <w:szCs w:val="24"/>
        </w:rPr>
        <w:t>pode ser ampliado, como regra excepcional que é”</w:t>
      </w:r>
      <w:r w:rsidR="00AD4F9B" w:rsidRPr="005D19B0">
        <w:rPr>
          <w:rStyle w:val="Refdenotaderodap"/>
          <w:rFonts w:ascii="Arial" w:hAnsi="Arial" w:cs="Arial"/>
          <w:sz w:val="24"/>
          <w:szCs w:val="24"/>
        </w:rPr>
        <w:footnoteReference w:id="87"/>
      </w:r>
      <w:r w:rsidRPr="005D19B0">
        <w:rPr>
          <w:rFonts w:ascii="Arial" w:hAnsi="Arial" w:cs="Arial"/>
          <w:sz w:val="24"/>
          <w:szCs w:val="24"/>
        </w:rPr>
        <w:t>.</w:t>
      </w:r>
    </w:p>
    <w:p w:rsidR="00912321" w:rsidRDefault="002D2436" w:rsidP="00E63780">
      <w:pPr>
        <w:tabs>
          <w:tab w:val="left" w:pos="4830"/>
        </w:tabs>
        <w:ind w:firstLine="851"/>
        <w:jc w:val="both"/>
        <w:rPr>
          <w:rFonts w:ascii="Arial" w:hAnsi="Arial" w:cs="Arial"/>
          <w:sz w:val="24"/>
          <w:szCs w:val="24"/>
        </w:rPr>
      </w:pPr>
      <w:r>
        <w:rPr>
          <w:rFonts w:ascii="Arial" w:hAnsi="Arial" w:cs="Arial"/>
          <w:sz w:val="24"/>
          <w:szCs w:val="24"/>
        </w:rPr>
        <w:lastRenderedPageBreak/>
        <w:t>Nesse sentido</w:t>
      </w:r>
      <w:r w:rsidR="00A66F01">
        <w:rPr>
          <w:rFonts w:ascii="Arial" w:hAnsi="Arial" w:cs="Arial"/>
          <w:sz w:val="24"/>
          <w:szCs w:val="24"/>
        </w:rPr>
        <w:t xml:space="preserve">, de acordo com </w:t>
      </w:r>
      <w:r w:rsidR="00580859">
        <w:rPr>
          <w:rFonts w:ascii="Arial" w:hAnsi="Arial" w:cs="Arial"/>
          <w:sz w:val="24"/>
          <w:szCs w:val="24"/>
        </w:rPr>
        <w:t>referido entendimento</w:t>
      </w:r>
      <w:r w:rsidR="001513DA">
        <w:rPr>
          <w:rFonts w:ascii="Arial" w:hAnsi="Arial" w:cs="Arial"/>
          <w:sz w:val="24"/>
          <w:szCs w:val="24"/>
        </w:rPr>
        <w:t>, a indicação do artigo 1.640 entre parênteses</w:t>
      </w:r>
      <w:r w:rsidR="001513DA">
        <w:rPr>
          <w:rStyle w:val="Refdenotaderodap"/>
          <w:rFonts w:ascii="Arial" w:hAnsi="Arial" w:cs="Arial"/>
          <w:sz w:val="24"/>
          <w:szCs w:val="24"/>
        </w:rPr>
        <w:footnoteReference w:id="88"/>
      </w:r>
      <w:r>
        <w:rPr>
          <w:rFonts w:ascii="Arial" w:hAnsi="Arial" w:cs="Arial"/>
          <w:sz w:val="24"/>
          <w:szCs w:val="24"/>
        </w:rPr>
        <w:t xml:space="preserve"> </w:t>
      </w:r>
      <w:r w:rsidR="001513DA">
        <w:rPr>
          <w:rFonts w:ascii="Arial" w:hAnsi="Arial" w:cs="Arial"/>
          <w:sz w:val="24"/>
          <w:szCs w:val="24"/>
        </w:rPr>
        <w:t xml:space="preserve">trata-se de mero erro material, </w:t>
      </w:r>
      <w:r w:rsidR="00BC1436">
        <w:rPr>
          <w:rFonts w:ascii="Arial" w:hAnsi="Arial" w:cs="Arial"/>
          <w:sz w:val="24"/>
          <w:szCs w:val="24"/>
        </w:rPr>
        <w:t xml:space="preserve">entendendo-se que a </w:t>
      </w:r>
      <w:r w:rsidR="00C4479B">
        <w:rPr>
          <w:rFonts w:ascii="Arial" w:hAnsi="Arial" w:cs="Arial"/>
          <w:sz w:val="24"/>
          <w:szCs w:val="24"/>
        </w:rPr>
        <w:t>intenção do legislador foi, em verdade, fazer remiss</w:t>
      </w:r>
      <w:r w:rsidR="006F7D87">
        <w:rPr>
          <w:rFonts w:ascii="Arial" w:hAnsi="Arial" w:cs="Arial"/>
          <w:sz w:val="24"/>
          <w:szCs w:val="24"/>
        </w:rPr>
        <w:t>ão ao art. 1.641, que discorre a respeito da separação legal de bens</w:t>
      </w:r>
      <w:r w:rsidR="00644CC1">
        <w:rPr>
          <w:rStyle w:val="Refdenotaderodap"/>
          <w:rFonts w:ascii="Arial" w:hAnsi="Arial" w:cs="Arial"/>
          <w:sz w:val="24"/>
          <w:szCs w:val="24"/>
        </w:rPr>
        <w:footnoteReference w:id="89"/>
      </w:r>
      <w:r w:rsidR="00912321">
        <w:rPr>
          <w:rFonts w:ascii="Arial" w:hAnsi="Arial" w:cs="Arial"/>
          <w:sz w:val="24"/>
          <w:szCs w:val="24"/>
        </w:rPr>
        <w:t>.</w:t>
      </w:r>
    </w:p>
    <w:p w:rsidR="00D46974" w:rsidRDefault="00867361" w:rsidP="00E63780">
      <w:pPr>
        <w:tabs>
          <w:tab w:val="left" w:pos="4830"/>
        </w:tabs>
        <w:ind w:firstLine="851"/>
        <w:jc w:val="both"/>
        <w:rPr>
          <w:rFonts w:ascii="Arial" w:hAnsi="Arial" w:cs="Arial"/>
          <w:sz w:val="24"/>
          <w:szCs w:val="24"/>
        </w:rPr>
      </w:pPr>
      <w:r>
        <w:rPr>
          <w:rFonts w:ascii="Arial" w:hAnsi="Arial" w:cs="Arial"/>
          <w:sz w:val="24"/>
          <w:szCs w:val="24"/>
        </w:rPr>
        <w:t xml:space="preserve">Sobre o segundo argumento aduzido pela doutrina </w:t>
      </w:r>
      <w:r w:rsidR="00580859">
        <w:rPr>
          <w:rFonts w:ascii="Arial" w:hAnsi="Arial" w:cs="Arial"/>
          <w:sz w:val="24"/>
          <w:szCs w:val="24"/>
        </w:rPr>
        <w:t>do professor Miguel Reale</w:t>
      </w:r>
      <w:r w:rsidR="00207DE8">
        <w:rPr>
          <w:rFonts w:ascii="Arial" w:hAnsi="Arial" w:cs="Arial"/>
          <w:sz w:val="24"/>
          <w:szCs w:val="24"/>
        </w:rPr>
        <w:t xml:space="preserve"> e invocado na decisão proferida no REsp nº </w:t>
      </w:r>
      <w:r w:rsidR="00950341">
        <w:rPr>
          <w:rFonts w:ascii="Arial" w:hAnsi="Arial" w:cs="Arial"/>
          <w:sz w:val="24"/>
          <w:szCs w:val="24"/>
        </w:rPr>
        <w:t>992</w:t>
      </w:r>
      <w:r w:rsidR="00810C31">
        <w:rPr>
          <w:rFonts w:ascii="Arial" w:hAnsi="Arial" w:cs="Arial"/>
          <w:sz w:val="24"/>
          <w:szCs w:val="24"/>
        </w:rPr>
        <w:t>.749/MS</w:t>
      </w:r>
      <w:r w:rsidR="007E4799">
        <w:rPr>
          <w:rStyle w:val="Refdenotaderodap"/>
          <w:rFonts w:ascii="Arial" w:hAnsi="Arial" w:cs="Arial"/>
          <w:sz w:val="24"/>
          <w:szCs w:val="24"/>
        </w:rPr>
        <w:footnoteReference w:id="90"/>
      </w:r>
      <w:r>
        <w:rPr>
          <w:rFonts w:ascii="Arial" w:hAnsi="Arial" w:cs="Arial"/>
          <w:sz w:val="24"/>
          <w:szCs w:val="24"/>
        </w:rPr>
        <w:t xml:space="preserve"> (de que a </w:t>
      </w:r>
      <w:r w:rsidR="005E5E36">
        <w:rPr>
          <w:rFonts w:ascii="Arial" w:hAnsi="Arial" w:cs="Arial"/>
          <w:sz w:val="24"/>
          <w:szCs w:val="24"/>
        </w:rPr>
        <w:t xml:space="preserve">vontade do cônjuge em manter a separação de bens durante a vida deveria ser respeitada </w:t>
      </w:r>
      <w:r w:rsidR="005E5E36">
        <w:rPr>
          <w:rFonts w:ascii="Arial" w:hAnsi="Arial" w:cs="Arial"/>
          <w:i/>
          <w:sz w:val="24"/>
          <w:szCs w:val="24"/>
        </w:rPr>
        <w:t>pos</w:t>
      </w:r>
      <w:r w:rsidR="00A14B33">
        <w:rPr>
          <w:rFonts w:ascii="Arial" w:hAnsi="Arial" w:cs="Arial"/>
          <w:i/>
          <w:sz w:val="24"/>
          <w:szCs w:val="24"/>
        </w:rPr>
        <w:t>t</w:t>
      </w:r>
      <w:r w:rsidR="005E5E36">
        <w:rPr>
          <w:rFonts w:ascii="Arial" w:hAnsi="Arial" w:cs="Arial"/>
          <w:i/>
          <w:sz w:val="24"/>
          <w:szCs w:val="24"/>
        </w:rPr>
        <w:t xml:space="preserve"> mortem</w:t>
      </w:r>
      <w:r w:rsidR="005E5E36">
        <w:rPr>
          <w:rFonts w:ascii="Arial" w:hAnsi="Arial" w:cs="Arial"/>
          <w:sz w:val="24"/>
          <w:szCs w:val="24"/>
        </w:rPr>
        <w:t xml:space="preserve">), </w:t>
      </w:r>
      <w:r w:rsidR="00D46974">
        <w:rPr>
          <w:rFonts w:ascii="Arial" w:hAnsi="Arial" w:cs="Arial"/>
          <w:sz w:val="24"/>
          <w:szCs w:val="24"/>
        </w:rPr>
        <w:t>Flávio Tartuce e José Fernando Simão</w:t>
      </w:r>
      <w:r w:rsidR="00E460B4">
        <w:rPr>
          <w:rStyle w:val="Refdenotaderodap"/>
          <w:rFonts w:ascii="Arial" w:hAnsi="Arial" w:cs="Arial"/>
          <w:sz w:val="24"/>
          <w:szCs w:val="24"/>
        </w:rPr>
        <w:footnoteReference w:id="91"/>
      </w:r>
      <w:r w:rsidR="005E5E36">
        <w:rPr>
          <w:rFonts w:ascii="Arial" w:hAnsi="Arial" w:cs="Arial"/>
          <w:sz w:val="24"/>
          <w:szCs w:val="24"/>
        </w:rPr>
        <w:t xml:space="preserve"> afirmam</w:t>
      </w:r>
      <w:r w:rsidR="00834831">
        <w:rPr>
          <w:rFonts w:ascii="Arial" w:hAnsi="Arial" w:cs="Arial"/>
          <w:sz w:val="24"/>
          <w:szCs w:val="24"/>
        </w:rPr>
        <w:t xml:space="preserve"> que</w:t>
      </w:r>
      <w:r w:rsidR="00D46974">
        <w:rPr>
          <w:rFonts w:ascii="Arial" w:hAnsi="Arial" w:cs="Arial"/>
          <w:sz w:val="24"/>
          <w:szCs w:val="24"/>
        </w:rPr>
        <w:t xml:space="preserve"> o regime matrimonial de bens é extinto com a morte, de modo que, após o falecimento de um dos cônjuges, afasta-se o direito de família e invoca-se o direito das sucessões. Destarte, </w:t>
      </w:r>
      <w:r w:rsidR="00834831">
        <w:rPr>
          <w:rFonts w:ascii="Arial" w:hAnsi="Arial" w:cs="Arial"/>
          <w:sz w:val="24"/>
          <w:szCs w:val="24"/>
        </w:rPr>
        <w:t xml:space="preserve">não haveria se falar em obrigação </w:t>
      </w:r>
      <w:r w:rsidR="00912321">
        <w:rPr>
          <w:rFonts w:ascii="Arial" w:hAnsi="Arial" w:cs="Arial"/>
          <w:sz w:val="24"/>
          <w:szCs w:val="24"/>
        </w:rPr>
        <w:t>às partes “na vida e na morte”, tal como consignado por Miguel Reale.</w:t>
      </w:r>
    </w:p>
    <w:p w:rsidR="002417E3" w:rsidRDefault="00D46974" w:rsidP="002417E3">
      <w:pPr>
        <w:pStyle w:val="parag2"/>
        <w:shd w:val="clear" w:color="auto" w:fill="FFFFFF"/>
        <w:spacing w:before="0" w:beforeAutospacing="0" w:after="0" w:afterAutospacing="0"/>
        <w:ind w:firstLine="851"/>
        <w:jc w:val="both"/>
        <w:rPr>
          <w:rFonts w:ascii="Arial" w:hAnsi="Arial" w:cs="Arial"/>
        </w:rPr>
      </w:pPr>
      <w:r>
        <w:rPr>
          <w:rFonts w:ascii="Arial" w:hAnsi="Arial" w:cs="Arial"/>
        </w:rPr>
        <w:t>Nesse sentido</w:t>
      </w:r>
      <w:r w:rsidR="002B3933">
        <w:rPr>
          <w:rFonts w:ascii="Arial" w:hAnsi="Arial" w:cs="Arial"/>
        </w:rPr>
        <w:t xml:space="preserve">, </w:t>
      </w:r>
      <w:r w:rsidR="001513DA">
        <w:rPr>
          <w:rFonts w:ascii="Arial" w:hAnsi="Arial" w:cs="Arial"/>
        </w:rPr>
        <w:t>Helena de Azeredo Orselli</w:t>
      </w:r>
      <w:r w:rsidR="002B3933">
        <w:rPr>
          <w:rFonts w:ascii="Arial" w:hAnsi="Arial" w:cs="Arial"/>
        </w:rPr>
        <w:t xml:space="preserve"> assim pontua:</w:t>
      </w:r>
    </w:p>
    <w:p w:rsidR="002417E3" w:rsidRPr="001513DA" w:rsidRDefault="002417E3" w:rsidP="002417E3">
      <w:pPr>
        <w:pStyle w:val="parag2"/>
        <w:shd w:val="clear" w:color="auto" w:fill="FFFFFF"/>
        <w:spacing w:before="0" w:beforeAutospacing="0" w:after="0" w:afterAutospacing="0" w:line="360" w:lineRule="auto"/>
        <w:ind w:firstLine="851"/>
        <w:jc w:val="both"/>
        <w:rPr>
          <w:rFonts w:ascii="Arial" w:hAnsi="Arial" w:cs="Arial"/>
        </w:rPr>
      </w:pPr>
    </w:p>
    <w:p w:rsidR="001160EA" w:rsidRDefault="001513DA" w:rsidP="002417E3">
      <w:pPr>
        <w:pStyle w:val="parag7"/>
        <w:shd w:val="clear" w:color="auto" w:fill="FFFFFF"/>
        <w:spacing w:before="0" w:beforeAutospacing="0" w:after="0" w:afterAutospacing="0"/>
        <w:ind w:left="2268"/>
        <w:jc w:val="both"/>
        <w:rPr>
          <w:rFonts w:ascii="Arial" w:hAnsi="Arial" w:cs="Arial"/>
          <w:color w:val="000000"/>
          <w:sz w:val="20"/>
          <w:szCs w:val="20"/>
        </w:rPr>
      </w:pPr>
      <w:r w:rsidRPr="001513DA">
        <w:rPr>
          <w:rFonts w:ascii="Arial" w:hAnsi="Arial" w:cs="Arial"/>
          <w:color w:val="000000"/>
          <w:sz w:val="20"/>
          <w:szCs w:val="20"/>
        </w:rPr>
        <w:t>É certo que o direito à sucessão legítima não pode depender do regime de bens, pois são institutos jurídicos distintos e independentes entre si. O regime de bens pertence ao ramo do direito de família e cessa com a dissolução da sociedade conjugal, por morte, separação judicial, divórcio ou anulação do casamento, enquanto que a sucessão legítima é instituto de direito das sucessões, que decor</w:t>
      </w:r>
      <w:r w:rsidR="000371A9">
        <w:rPr>
          <w:rFonts w:ascii="Arial" w:hAnsi="Arial" w:cs="Arial"/>
          <w:color w:val="000000"/>
          <w:sz w:val="20"/>
          <w:szCs w:val="20"/>
        </w:rPr>
        <w:t>re do óbito de uma pessoa (...)</w:t>
      </w:r>
      <w:r w:rsidR="00A67E6A">
        <w:rPr>
          <w:rFonts w:ascii="Arial" w:hAnsi="Arial" w:cs="Arial"/>
          <w:color w:val="000000"/>
          <w:sz w:val="20"/>
          <w:szCs w:val="20"/>
        </w:rPr>
        <w:t>.</w:t>
      </w:r>
      <w:r w:rsidR="00A67E6A">
        <w:rPr>
          <w:rStyle w:val="Refdenotaderodap"/>
          <w:rFonts w:ascii="Arial" w:hAnsi="Arial" w:cs="Arial"/>
          <w:color w:val="000000"/>
          <w:sz w:val="20"/>
          <w:szCs w:val="20"/>
        </w:rPr>
        <w:footnoteReference w:id="92"/>
      </w:r>
    </w:p>
    <w:p w:rsidR="001160EA" w:rsidRDefault="001160EA" w:rsidP="002417E3">
      <w:pPr>
        <w:tabs>
          <w:tab w:val="left" w:pos="4830"/>
        </w:tabs>
        <w:jc w:val="both"/>
        <w:rPr>
          <w:rFonts w:ascii="Arial" w:hAnsi="Arial" w:cs="Arial"/>
          <w:sz w:val="24"/>
          <w:szCs w:val="24"/>
        </w:rPr>
      </w:pPr>
    </w:p>
    <w:p w:rsidR="0084688E" w:rsidRDefault="00CB3A36" w:rsidP="002417E3">
      <w:pPr>
        <w:tabs>
          <w:tab w:val="left" w:pos="4830"/>
        </w:tabs>
        <w:ind w:firstLine="851"/>
        <w:jc w:val="both"/>
        <w:rPr>
          <w:rFonts w:ascii="Arial" w:hAnsi="Arial" w:cs="Arial"/>
          <w:sz w:val="24"/>
          <w:szCs w:val="24"/>
        </w:rPr>
      </w:pPr>
      <w:r>
        <w:rPr>
          <w:rFonts w:ascii="Arial" w:hAnsi="Arial" w:cs="Arial"/>
          <w:sz w:val="24"/>
          <w:szCs w:val="24"/>
        </w:rPr>
        <w:t xml:space="preserve">Seguindo esse raciocínio, </w:t>
      </w:r>
      <w:r w:rsidR="0084688E">
        <w:rPr>
          <w:rFonts w:ascii="Arial" w:hAnsi="Arial" w:cs="Arial"/>
          <w:sz w:val="24"/>
          <w:szCs w:val="24"/>
        </w:rPr>
        <w:t xml:space="preserve">o pacto antenupcial que previa a separação convencional de bens perderia sua </w:t>
      </w:r>
      <w:r w:rsidR="00296040">
        <w:rPr>
          <w:rFonts w:ascii="Arial" w:hAnsi="Arial" w:cs="Arial"/>
          <w:sz w:val="24"/>
          <w:szCs w:val="24"/>
        </w:rPr>
        <w:t>eficácia</w:t>
      </w:r>
      <w:r>
        <w:rPr>
          <w:rFonts w:ascii="Arial" w:hAnsi="Arial" w:cs="Arial"/>
          <w:sz w:val="24"/>
          <w:szCs w:val="24"/>
        </w:rPr>
        <w:t xml:space="preserve"> após a morte do cônjuge.</w:t>
      </w:r>
    </w:p>
    <w:p w:rsidR="00FD252B" w:rsidRDefault="00E21F1B" w:rsidP="00C54F1A">
      <w:pPr>
        <w:tabs>
          <w:tab w:val="left" w:pos="4830"/>
        </w:tabs>
        <w:ind w:firstLine="851"/>
        <w:jc w:val="both"/>
        <w:rPr>
          <w:rFonts w:ascii="Arial" w:hAnsi="Arial" w:cs="Arial"/>
          <w:sz w:val="24"/>
          <w:szCs w:val="24"/>
        </w:rPr>
      </w:pPr>
      <w:r>
        <w:rPr>
          <w:rFonts w:ascii="Arial" w:hAnsi="Arial" w:cs="Arial"/>
          <w:sz w:val="24"/>
          <w:szCs w:val="24"/>
        </w:rPr>
        <w:t>Desse modo, por entender que a lei é clara ao mencionar “separação obrigatória de bens”</w:t>
      </w:r>
      <w:r w:rsidR="002146FA">
        <w:rPr>
          <w:rFonts w:ascii="Arial" w:hAnsi="Arial" w:cs="Arial"/>
          <w:sz w:val="24"/>
          <w:szCs w:val="24"/>
        </w:rPr>
        <w:t xml:space="preserve"> como</w:t>
      </w:r>
      <w:r w:rsidR="00F27F44">
        <w:rPr>
          <w:rFonts w:ascii="Arial" w:hAnsi="Arial" w:cs="Arial"/>
          <w:sz w:val="24"/>
          <w:szCs w:val="24"/>
        </w:rPr>
        <w:t xml:space="preserve"> hipótese de separação legal de bens, </w:t>
      </w:r>
      <w:r w:rsidR="007E4799">
        <w:rPr>
          <w:rFonts w:ascii="Arial" w:hAnsi="Arial" w:cs="Arial"/>
          <w:sz w:val="24"/>
          <w:szCs w:val="24"/>
        </w:rPr>
        <w:t>bem como que o dispositivo colocado entre parênteses</w:t>
      </w:r>
      <w:r w:rsidR="00D84A11">
        <w:rPr>
          <w:rFonts w:ascii="Arial" w:hAnsi="Arial" w:cs="Arial"/>
          <w:sz w:val="24"/>
          <w:szCs w:val="24"/>
        </w:rPr>
        <w:t xml:space="preserve"> (artigo 1.640)</w:t>
      </w:r>
      <w:r w:rsidR="007E4799">
        <w:rPr>
          <w:rFonts w:ascii="Arial" w:hAnsi="Arial" w:cs="Arial"/>
          <w:sz w:val="24"/>
          <w:szCs w:val="24"/>
        </w:rPr>
        <w:t xml:space="preserve"> caracteriza erro material, </w:t>
      </w:r>
      <w:r w:rsidR="00F27F44">
        <w:rPr>
          <w:rFonts w:ascii="Arial" w:hAnsi="Arial" w:cs="Arial"/>
          <w:sz w:val="24"/>
          <w:szCs w:val="24"/>
        </w:rPr>
        <w:t xml:space="preserve">o cônjuge supérstite casado sob o regime de separação convencional </w:t>
      </w:r>
      <w:r w:rsidR="007E4799">
        <w:rPr>
          <w:rFonts w:ascii="Arial" w:hAnsi="Arial" w:cs="Arial"/>
          <w:sz w:val="24"/>
          <w:szCs w:val="24"/>
        </w:rPr>
        <w:t>de bens</w:t>
      </w:r>
      <w:r w:rsidR="00D53544">
        <w:rPr>
          <w:rFonts w:ascii="Arial" w:hAnsi="Arial" w:cs="Arial"/>
          <w:sz w:val="24"/>
          <w:szCs w:val="24"/>
        </w:rPr>
        <w:t xml:space="preserve"> </w:t>
      </w:r>
      <w:r w:rsidR="00D53544">
        <w:rPr>
          <w:rFonts w:ascii="Arial" w:hAnsi="Arial" w:cs="Arial"/>
          <w:sz w:val="24"/>
          <w:szCs w:val="24"/>
        </w:rPr>
        <w:lastRenderedPageBreak/>
        <w:t>concorreria com os descendentes e ascenden</w:t>
      </w:r>
      <w:r w:rsidR="007E4799">
        <w:rPr>
          <w:rFonts w:ascii="Arial" w:hAnsi="Arial" w:cs="Arial"/>
          <w:sz w:val="24"/>
          <w:szCs w:val="24"/>
        </w:rPr>
        <w:t>tes sobre a herança do falecido, por não haver previsão</w:t>
      </w:r>
      <w:r w:rsidR="00395E0F">
        <w:rPr>
          <w:rFonts w:ascii="Arial" w:hAnsi="Arial" w:cs="Arial"/>
          <w:sz w:val="24"/>
          <w:szCs w:val="24"/>
        </w:rPr>
        <w:t xml:space="preserve"> legal</w:t>
      </w:r>
      <w:r w:rsidR="007E4799">
        <w:rPr>
          <w:rFonts w:ascii="Arial" w:hAnsi="Arial" w:cs="Arial"/>
          <w:sz w:val="24"/>
          <w:szCs w:val="24"/>
        </w:rPr>
        <w:t xml:space="preserve"> em sentido contrário.</w:t>
      </w:r>
    </w:p>
    <w:p w:rsidR="00FD252B" w:rsidRDefault="00FD252B" w:rsidP="00185AB2">
      <w:pPr>
        <w:tabs>
          <w:tab w:val="left" w:pos="4830"/>
        </w:tabs>
        <w:jc w:val="both"/>
        <w:rPr>
          <w:rFonts w:ascii="Arial" w:hAnsi="Arial" w:cs="Arial"/>
          <w:sz w:val="24"/>
          <w:szCs w:val="24"/>
        </w:rPr>
      </w:pPr>
    </w:p>
    <w:p w:rsidR="001A5AF3" w:rsidRDefault="00395E0F" w:rsidP="00185AB2">
      <w:pPr>
        <w:tabs>
          <w:tab w:val="left" w:pos="4830"/>
        </w:tabs>
        <w:jc w:val="both"/>
        <w:rPr>
          <w:rFonts w:ascii="Arial" w:hAnsi="Arial" w:cs="Arial"/>
          <w:b/>
          <w:sz w:val="24"/>
          <w:szCs w:val="24"/>
        </w:rPr>
      </w:pPr>
      <w:r>
        <w:rPr>
          <w:rFonts w:ascii="Arial" w:hAnsi="Arial" w:cs="Arial"/>
          <w:b/>
          <w:sz w:val="24"/>
          <w:szCs w:val="24"/>
        </w:rPr>
        <w:t>8</w:t>
      </w:r>
      <w:r w:rsidR="00185AB2" w:rsidRPr="00185AB2">
        <w:rPr>
          <w:rFonts w:ascii="Arial" w:hAnsi="Arial" w:cs="Arial"/>
          <w:b/>
          <w:sz w:val="24"/>
          <w:szCs w:val="24"/>
        </w:rPr>
        <w:t xml:space="preserve"> </w:t>
      </w:r>
      <w:r w:rsidR="002146FA">
        <w:rPr>
          <w:rFonts w:ascii="Arial" w:hAnsi="Arial" w:cs="Arial"/>
          <w:b/>
          <w:sz w:val="24"/>
          <w:szCs w:val="24"/>
        </w:rPr>
        <w:t xml:space="preserve">RECURSO ESPECIAL Nº 1.382.170/SP – </w:t>
      </w:r>
      <w:r w:rsidR="00720766">
        <w:rPr>
          <w:rFonts w:ascii="Arial" w:hAnsi="Arial" w:cs="Arial"/>
          <w:b/>
          <w:sz w:val="24"/>
          <w:szCs w:val="24"/>
        </w:rPr>
        <w:t>PROTEÇÃO AO CÔNJUGE SOBREVIVENTE</w:t>
      </w:r>
    </w:p>
    <w:p w:rsidR="00720766" w:rsidRDefault="00720766" w:rsidP="00185AB2">
      <w:pPr>
        <w:tabs>
          <w:tab w:val="left" w:pos="4830"/>
        </w:tabs>
        <w:jc w:val="both"/>
        <w:rPr>
          <w:rFonts w:ascii="Arial" w:hAnsi="Arial" w:cs="Arial"/>
          <w:b/>
          <w:sz w:val="24"/>
          <w:szCs w:val="24"/>
        </w:rPr>
      </w:pPr>
    </w:p>
    <w:p w:rsidR="00720766" w:rsidRDefault="004077A8" w:rsidP="00E63780">
      <w:pPr>
        <w:tabs>
          <w:tab w:val="left" w:pos="4830"/>
        </w:tabs>
        <w:ind w:firstLine="851"/>
        <w:jc w:val="both"/>
        <w:rPr>
          <w:rFonts w:ascii="Arial" w:hAnsi="Arial" w:cs="Arial"/>
          <w:sz w:val="24"/>
          <w:szCs w:val="24"/>
        </w:rPr>
      </w:pPr>
      <w:r>
        <w:rPr>
          <w:rFonts w:ascii="Arial" w:hAnsi="Arial" w:cs="Arial"/>
          <w:sz w:val="24"/>
          <w:szCs w:val="24"/>
        </w:rPr>
        <w:t>O</w:t>
      </w:r>
      <w:r w:rsidR="00720766">
        <w:rPr>
          <w:rFonts w:ascii="Arial" w:hAnsi="Arial" w:cs="Arial"/>
          <w:sz w:val="24"/>
          <w:szCs w:val="24"/>
        </w:rPr>
        <w:t xml:space="preserve"> REsp nº 1.382.170/SP</w:t>
      </w:r>
      <w:r w:rsidR="006B5514">
        <w:rPr>
          <w:rStyle w:val="Refdenotaderodap"/>
          <w:rFonts w:ascii="Arial" w:hAnsi="Arial" w:cs="Arial"/>
          <w:sz w:val="24"/>
          <w:szCs w:val="24"/>
        </w:rPr>
        <w:footnoteReference w:id="93"/>
      </w:r>
      <w:r w:rsidR="007C68D4">
        <w:rPr>
          <w:rFonts w:ascii="Arial" w:hAnsi="Arial" w:cs="Arial"/>
          <w:sz w:val="24"/>
          <w:szCs w:val="24"/>
        </w:rPr>
        <w:t xml:space="preserve">, julgado em 2015, </w:t>
      </w:r>
      <w:r>
        <w:rPr>
          <w:rFonts w:ascii="Arial" w:hAnsi="Arial" w:cs="Arial"/>
          <w:sz w:val="24"/>
          <w:szCs w:val="24"/>
        </w:rPr>
        <w:t xml:space="preserve">suscitou dissenso entre os votos do relator, Ministro Moura Ribeiro – o qual compactuava da corrente </w:t>
      </w:r>
      <w:r w:rsidR="00580859">
        <w:rPr>
          <w:rFonts w:ascii="Arial" w:hAnsi="Arial" w:cs="Arial"/>
          <w:sz w:val="24"/>
          <w:szCs w:val="24"/>
        </w:rPr>
        <w:t>defendida por Miguel Reale</w:t>
      </w:r>
      <w:r>
        <w:rPr>
          <w:rFonts w:ascii="Arial" w:hAnsi="Arial" w:cs="Arial"/>
          <w:sz w:val="24"/>
          <w:szCs w:val="24"/>
        </w:rPr>
        <w:t xml:space="preserve"> – e do Ministro Otávio de Noronha, que</w:t>
      </w:r>
      <w:r w:rsidR="00450022">
        <w:rPr>
          <w:rFonts w:ascii="Arial" w:hAnsi="Arial" w:cs="Arial"/>
          <w:sz w:val="24"/>
          <w:szCs w:val="24"/>
        </w:rPr>
        <w:t xml:space="preserve"> foi acompanhado na divergência,</w:t>
      </w:r>
      <w:r>
        <w:rPr>
          <w:rFonts w:ascii="Arial" w:hAnsi="Arial" w:cs="Arial"/>
          <w:sz w:val="24"/>
          <w:szCs w:val="24"/>
        </w:rPr>
        <w:t xml:space="preserve"> seguindo a corrente </w:t>
      </w:r>
      <w:r w:rsidR="00580859">
        <w:rPr>
          <w:rFonts w:ascii="Arial" w:hAnsi="Arial" w:cs="Arial"/>
          <w:sz w:val="24"/>
          <w:szCs w:val="24"/>
        </w:rPr>
        <w:t>interpretativa</w:t>
      </w:r>
      <w:r>
        <w:rPr>
          <w:rFonts w:ascii="Arial" w:hAnsi="Arial" w:cs="Arial"/>
          <w:sz w:val="24"/>
          <w:szCs w:val="24"/>
        </w:rPr>
        <w:t xml:space="preserve"> e</w:t>
      </w:r>
      <w:r w:rsidR="00450022">
        <w:rPr>
          <w:rFonts w:ascii="Arial" w:hAnsi="Arial" w:cs="Arial"/>
          <w:sz w:val="24"/>
          <w:szCs w:val="24"/>
        </w:rPr>
        <w:t>xplicitada no item precedente</w:t>
      </w:r>
      <w:r w:rsidR="00C72A71">
        <w:rPr>
          <w:rFonts w:ascii="Arial" w:hAnsi="Arial" w:cs="Arial"/>
          <w:sz w:val="24"/>
          <w:szCs w:val="24"/>
        </w:rPr>
        <w:t>,</w:t>
      </w:r>
      <w:r w:rsidR="00450022">
        <w:rPr>
          <w:rFonts w:ascii="Arial" w:hAnsi="Arial" w:cs="Arial"/>
          <w:sz w:val="24"/>
          <w:szCs w:val="24"/>
        </w:rPr>
        <w:t xml:space="preserve"> </w:t>
      </w:r>
      <w:r>
        <w:rPr>
          <w:rFonts w:ascii="Arial" w:hAnsi="Arial" w:cs="Arial"/>
          <w:sz w:val="24"/>
          <w:szCs w:val="24"/>
        </w:rPr>
        <w:t>pelo Ministro Raul Araújo.</w:t>
      </w:r>
    </w:p>
    <w:p w:rsidR="00ED1A76" w:rsidRPr="000371A9" w:rsidRDefault="00532599" w:rsidP="00E63780">
      <w:pPr>
        <w:tabs>
          <w:tab w:val="left" w:pos="4830"/>
        </w:tabs>
        <w:ind w:firstLine="851"/>
        <w:jc w:val="both"/>
        <w:rPr>
          <w:rFonts w:ascii="Arial" w:hAnsi="Arial" w:cs="Arial"/>
          <w:sz w:val="24"/>
          <w:szCs w:val="24"/>
        </w:rPr>
      </w:pPr>
      <w:r>
        <w:rPr>
          <w:rFonts w:ascii="Arial" w:hAnsi="Arial" w:cs="Arial"/>
          <w:sz w:val="24"/>
          <w:szCs w:val="24"/>
        </w:rPr>
        <w:t xml:space="preserve">No caso concreto, a recorrente, filha do autor da herança, combate a decisão proferida em agravo de instrumento que concedeu à esposa do falecido, casada sob o regime da separação convencional de bens, o direito à concorrência sobre o acervo hereditário. Afirma, para tanto, que </w:t>
      </w:r>
      <w:r w:rsidR="00ED1A76">
        <w:rPr>
          <w:rFonts w:ascii="Arial" w:hAnsi="Arial" w:cs="Arial"/>
          <w:sz w:val="24"/>
          <w:szCs w:val="24"/>
        </w:rPr>
        <w:t xml:space="preserve">o Tribunal </w:t>
      </w:r>
      <w:r w:rsidR="00ED1A76">
        <w:rPr>
          <w:rFonts w:ascii="Arial" w:hAnsi="Arial" w:cs="Arial"/>
          <w:i/>
          <w:sz w:val="24"/>
          <w:szCs w:val="24"/>
        </w:rPr>
        <w:t>a quo</w:t>
      </w:r>
      <w:r w:rsidR="00ED1A76">
        <w:rPr>
          <w:rFonts w:ascii="Arial" w:hAnsi="Arial" w:cs="Arial"/>
          <w:i/>
          <w:iCs/>
          <w:sz w:val="24"/>
          <w:szCs w:val="24"/>
        </w:rPr>
        <w:t xml:space="preserve"> </w:t>
      </w:r>
      <w:r w:rsidR="00ED1A76" w:rsidRPr="000371A9">
        <w:rPr>
          <w:rFonts w:ascii="Arial" w:hAnsi="Arial" w:cs="Arial"/>
          <w:iCs/>
          <w:sz w:val="24"/>
          <w:szCs w:val="24"/>
        </w:rPr>
        <w:t>“violentou a vontade do defunto,</w:t>
      </w:r>
    </w:p>
    <w:p w:rsidR="00ED1A76" w:rsidRPr="00A14B33" w:rsidRDefault="00ED1A76" w:rsidP="00A14B33">
      <w:pPr>
        <w:autoSpaceDE w:val="0"/>
        <w:autoSpaceDN w:val="0"/>
        <w:adjustRightInd w:val="0"/>
        <w:jc w:val="both"/>
        <w:rPr>
          <w:rFonts w:ascii="Arial" w:hAnsi="Arial" w:cs="Arial"/>
          <w:iCs/>
          <w:sz w:val="24"/>
          <w:szCs w:val="24"/>
        </w:rPr>
      </w:pPr>
      <w:r w:rsidRPr="000371A9">
        <w:rPr>
          <w:rFonts w:ascii="Arial" w:hAnsi="Arial" w:cs="Arial"/>
          <w:iCs/>
          <w:sz w:val="24"/>
          <w:szCs w:val="24"/>
        </w:rPr>
        <w:t>concedendo herança ao cônjuge sobrevivente, como se fosse 'herdeiro necessário',</w:t>
      </w:r>
      <w:r w:rsidR="00A14B33">
        <w:rPr>
          <w:rFonts w:ascii="Arial" w:hAnsi="Arial" w:cs="Arial"/>
          <w:iCs/>
          <w:sz w:val="24"/>
          <w:szCs w:val="24"/>
        </w:rPr>
        <w:t xml:space="preserve"> </w:t>
      </w:r>
      <w:r w:rsidRPr="000371A9">
        <w:rPr>
          <w:rFonts w:ascii="Arial" w:hAnsi="Arial" w:cs="Arial"/>
          <w:iCs/>
          <w:sz w:val="24"/>
          <w:szCs w:val="24"/>
        </w:rPr>
        <w:t>quando, na verdade, a viúva é apenas herdeira testamentária”</w:t>
      </w:r>
      <w:r w:rsidRPr="000371A9">
        <w:rPr>
          <w:rStyle w:val="Refdenotaderodap"/>
          <w:rFonts w:ascii="Arial" w:hAnsi="Arial" w:cs="Arial"/>
          <w:iCs/>
          <w:sz w:val="24"/>
          <w:szCs w:val="24"/>
        </w:rPr>
        <w:footnoteReference w:id="94"/>
      </w:r>
      <w:r w:rsidRPr="000371A9">
        <w:rPr>
          <w:rFonts w:ascii="Arial" w:hAnsi="Arial" w:cs="Arial"/>
          <w:iCs/>
          <w:sz w:val="24"/>
          <w:szCs w:val="24"/>
        </w:rPr>
        <w:t>.</w:t>
      </w:r>
    </w:p>
    <w:p w:rsidR="0040285B" w:rsidRDefault="0040285B" w:rsidP="00E63780">
      <w:pPr>
        <w:autoSpaceDE w:val="0"/>
        <w:autoSpaceDN w:val="0"/>
        <w:adjustRightInd w:val="0"/>
        <w:ind w:firstLine="851"/>
        <w:jc w:val="both"/>
        <w:rPr>
          <w:rFonts w:ascii="Arial" w:hAnsi="Arial" w:cs="Arial"/>
          <w:i/>
          <w:sz w:val="24"/>
          <w:szCs w:val="24"/>
        </w:rPr>
      </w:pPr>
      <w:r>
        <w:rPr>
          <w:rFonts w:ascii="Arial" w:hAnsi="Arial" w:cs="Arial"/>
          <w:sz w:val="24"/>
          <w:szCs w:val="24"/>
        </w:rPr>
        <w:t>O relator original do feito, Ministro Moura Ribeiro, consignou, em seu voto vencido, que</w:t>
      </w:r>
      <w:r w:rsidRPr="000371A9">
        <w:rPr>
          <w:rFonts w:ascii="Arial" w:hAnsi="Arial" w:cs="Arial"/>
          <w:sz w:val="24"/>
          <w:szCs w:val="24"/>
        </w:rPr>
        <w:t xml:space="preserve"> “não tem sentido possibilitar aos cônjuges a livre escolha do regime de bens, formalizada no pacto antenupcial, para depois lhes negar os efeitos práticos do regime licitamente escolhido”.</w:t>
      </w:r>
    </w:p>
    <w:p w:rsidR="00B75011" w:rsidRDefault="00B75011" w:rsidP="00E63780">
      <w:pPr>
        <w:autoSpaceDE w:val="0"/>
        <w:autoSpaceDN w:val="0"/>
        <w:adjustRightInd w:val="0"/>
        <w:ind w:firstLine="851"/>
        <w:jc w:val="both"/>
        <w:rPr>
          <w:rFonts w:ascii="Arial" w:hAnsi="Arial" w:cs="Arial"/>
          <w:i/>
          <w:sz w:val="24"/>
          <w:szCs w:val="24"/>
        </w:rPr>
      </w:pPr>
      <w:r>
        <w:rPr>
          <w:rFonts w:ascii="Arial" w:hAnsi="Arial" w:cs="Arial"/>
          <w:sz w:val="24"/>
          <w:szCs w:val="24"/>
        </w:rPr>
        <w:t>Assim, votou pelo parcial proviment</w:t>
      </w:r>
      <w:r w:rsidR="00B5211C">
        <w:rPr>
          <w:rFonts w:ascii="Arial" w:hAnsi="Arial" w:cs="Arial"/>
          <w:sz w:val="24"/>
          <w:szCs w:val="24"/>
        </w:rPr>
        <w:t xml:space="preserve">o do Recurso Especial, a fim de </w:t>
      </w:r>
      <w:r>
        <w:rPr>
          <w:rFonts w:ascii="Arial" w:hAnsi="Arial" w:cs="Arial"/>
          <w:sz w:val="24"/>
          <w:szCs w:val="24"/>
        </w:rPr>
        <w:t xml:space="preserve">reconhecer somente a qualidade de herdeira testamentária da esposa do </w:t>
      </w:r>
      <w:r>
        <w:rPr>
          <w:rFonts w:ascii="Arial" w:hAnsi="Arial" w:cs="Arial"/>
          <w:i/>
          <w:sz w:val="24"/>
          <w:szCs w:val="24"/>
        </w:rPr>
        <w:t>de cujus.</w:t>
      </w:r>
    </w:p>
    <w:p w:rsidR="00545FAC" w:rsidRDefault="00545FAC" w:rsidP="00E63780">
      <w:pPr>
        <w:autoSpaceDE w:val="0"/>
        <w:autoSpaceDN w:val="0"/>
        <w:adjustRightInd w:val="0"/>
        <w:ind w:firstLine="851"/>
        <w:jc w:val="both"/>
        <w:rPr>
          <w:rFonts w:ascii="Arial" w:hAnsi="Arial" w:cs="Arial"/>
          <w:sz w:val="24"/>
          <w:szCs w:val="24"/>
        </w:rPr>
      </w:pPr>
      <w:r>
        <w:rPr>
          <w:rFonts w:ascii="Arial" w:hAnsi="Arial" w:cs="Arial"/>
          <w:sz w:val="24"/>
          <w:szCs w:val="24"/>
        </w:rPr>
        <w:t xml:space="preserve">Lado outro, o Ministro Otávio de Noronha, relator designado, </w:t>
      </w:r>
      <w:r w:rsidR="00A31E07">
        <w:rPr>
          <w:rFonts w:ascii="Arial" w:hAnsi="Arial" w:cs="Arial"/>
          <w:sz w:val="24"/>
          <w:szCs w:val="24"/>
        </w:rPr>
        <w:t>negou provimento à insurgência manejada</w:t>
      </w:r>
      <w:r>
        <w:rPr>
          <w:rFonts w:ascii="Arial" w:hAnsi="Arial" w:cs="Arial"/>
          <w:sz w:val="24"/>
          <w:szCs w:val="24"/>
        </w:rPr>
        <w:t xml:space="preserve"> pela </w:t>
      </w:r>
      <w:r w:rsidR="00A31E07">
        <w:rPr>
          <w:rFonts w:ascii="Arial" w:hAnsi="Arial" w:cs="Arial"/>
          <w:sz w:val="24"/>
          <w:szCs w:val="24"/>
        </w:rPr>
        <w:t>filha do falecido, ao argumento de que a esposa, ainda que casado sob o regime da separação de bens, possui direito de concorrência sobre a herança.</w:t>
      </w:r>
    </w:p>
    <w:p w:rsidR="00545FAC" w:rsidRDefault="00A31E07" w:rsidP="000C0F87">
      <w:pPr>
        <w:autoSpaceDE w:val="0"/>
        <w:autoSpaceDN w:val="0"/>
        <w:adjustRightInd w:val="0"/>
        <w:ind w:firstLine="851"/>
        <w:jc w:val="both"/>
        <w:rPr>
          <w:rFonts w:ascii="Arial" w:hAnsi="Arial" w:cs="Arial"/>
          <w:i/>
          <w:sz w:val="24"/>
          <w:szCs w:val="24"/>
        </w:rPr>
      </w:pPr>
      <w:r>
        <w:rPr>
          <w:rFonts w:ascii="Arial" w:hAnsi="Arial" w:cs="Arial"/>
          <w:sz w:val="24"/>
          <w:szCs w:val="24"/>
        </w:rPr>
        <w:t xml:space="preserve">Nesse sentido, afirmou que o </w:t>
      </w:r>
      <w:r w:rsidRPr="00A31E07">
        <w:rPr>
          <w:rFonts w:ascii="Arial" w:hAnsi="Arial" w:cs="Arial"/>
          <w:sz w:val="24"/>
          <w:szCs w:val="24"/>
        </w:rPr>
        <w:t xml:space="preserve">legislador distinguiu os sistemas de partilha de bens na vida e após a morte, de modo que não seria possível </w:t>
      </w:r>
      <w:r w:rsidRPr="000371A9">
        <w:rPr>
          <w:rFonts w:ascii="Arial" w:hAnsi="Arial" w:cs="Arial"/>
          <w:sz w:val="24"/>
          <w:szCs w:val="24"/>
        </w:rPr>
        <w:t xml:space="preserve">“pegar um princípio </w:t>
      </w:r>
      <w:r w:rsidRPr="000371A9">
        <w:rPr>
          <w:rFonts w:ascii="Arial" w:hAnsi="Arial" w:cs="Arial"/>
          <w:sz w:val="24"/>
          <w:szCs w:val="24"/>
        </w:rPr>
        <w:lastRenderedPageBreak/>
        <w:t>daqui e outro princípio dali, fazer uma miscelânea e criar uma norma diferente daquela que está no Código”</w:t>
      </w:r>
      <w:r w:rsidR="003B5084" w:rsidRPr="000371A9">
        <w:rPr>
          <w:rStyle w:val="Refdenotaderodap"/>
          <w:rFonts w:ascii="Arial" w:hAnsi="Arial" w:cs="Arial"/>
          <w:sz w:val="24"/>
          <w:szCs w:val="24"/>
        </w:rPr>
        <w:footnoteReference w:id="95"/>
      </w:r>
      <w:r w:rsidRPr="000371A9">
        <w:rPr>
          <w:rFonts w:ascii="Arial" w:hAnsi="Arial" w:cs="Arial"/>
          <w:sz w:val="24"/>
          <w:szCs w:val="24"/>
        </w:rPr>
        <w:t>.</w:t>
      </w:r>
    </w:p>
    <w:p w:rsidR="00A31E07" w:rsidRDefault="00A31E07" w:rsidP="000C0F87">
      <w:pPr>
        <w:autoSpaceDE w:val="0"/>
        <w:autoSpaceDN w:val="0"/>
        <w:adjustRightInd w:val="0"/>
        <w:ind w:firstLine="851"/>
        <w:jc w:val="both"/>
        <w:rPr>
          <w:rFonts w:ascii="Arial" w:eastAsia="TimesNewRomanPSMT" w:hAnsi="Arial" w:cs="Arial"/>
          <w:sz w:val="24"/>
          <w:szCs w:val="24"/>
        </w:rPr>
      </w:pPr>
      <w:r>
        <w:rPr>
          <w:rFonts w:ascii="Arial" w:hAnsi="Arial" w:cs="Arial"/>
          <w:sz w:val="24"/>
          <w:szCs w:val="24"/>
        </w:rPr>
        <w:t>O ilustre Ministro alicerçou referido posicionamento na corrente doutrinária</w:t>
      </w:r>
      <w:r w:rsidR="00580859">
        <w:rPr>
          <w:rFonts w:ascii="Arial" w:hAnsi="Arial" w:cs="Arial"/>
          <w:sz w:val="24"/>
          <w:szCs w:val="24"/>
        </w:rPr>
        <w:t xml:space="preserve"> abordada no item precedente</w:t>
      </w:r>
      <w:r>
        <w:rPr>
          <w:rFonts w:ascii="Arial" w:hAnsi="Arial" w:cs="Arial"/>
          <w:sz w:val="24"/>
          <w:szCs w:val="24"/>
        </w:rPr>
        <w:t xml:space="preserve">, mencionando os ditames do </w:t>
      </w:r>
      <w:r w:rsidRPr="00A31E07">
        <w:rPr>
          <w:rFonts w:ascii="Arial" w:eastAsia="TimesNewRomanPSMT" w:hAnsi="Arial" w:cs="Arial"/>
          <w:sz w:val="24"/>
          <w:szCs w:val="24"/>
        </w:rPr>
        <w:t>Enunciado n. 270 do CJF/STJ, da</w:t>
      </w:r>
      <w:r w:rsidRPr="00A31E07">
        <w:rPr>
          <w:rFonts w:ascii="Arial" w:eastAsia="TimesNewRomanPSMT" w:hAnsi="Arial" w:cs="Arial"/>
          <w:i/>
          <w:iCs/>
          <w:sz w:val="24"/>
          <w:szCs w:val="24"/>
        </w:rPr>
        <w:t xml:space="preserve"> </w:t>
      </w:r>
      <w:r w:rsidRPr="00A31E07">
        <w:rPr>
          <w:rFonts w:ascii="Arial" w:eastAsia="TimesNewRomanPSMT" w:hAnsi="Arial" w:cs="Arial"/>
          <w:iCs/>
          <w:sz w:val="24"/>
          <w:szCs w:val="24"/>
        </w:rPr>
        <w:t>III Jornada de Direito Civil</w:t>
      </w:r>
      <w:r>
        <w:rPr>
          <w:rFonts w:ascii="Arial" w:eastAsia="TimesNewRomanPSMT" w:hAnsi="Arial" w:cs="Arial"/>
          <w:sz w:val="24"/>
          <w:szCs w:val="24"/>
        </w:rPr>
        <w:t>, que assim dispõe:</w:t>
      </w:r>
    </w:p>
    <w:p w:rsidR="00A31E07" w:rsidRDefault="00A31E07" w:rsidP="00A31E07">
      <w:pPr>
        <w:autoSpaceDE w:val="0"/>
        <w:autoSpaceDN w:val="0"/>
        <w:adjustRightInd w:val="0"/>
        <w:ind w:firstLine="709"/>
        <w:jc w:val="both"/>
        <w:rPr>
          <w:rFonts w:ascii="Arial" w:eastAsia="TimesNewRomanPSMT" w:hAnsi="Arial" w:cs="Arial"/>
          <w:sz w:val="24"/>
          <w:szCs w:val="24"/>
        </w:rPr>
      </w:pPr>
    </w:p>
    <w:p w:rsidR="00A31E07" w:rsidRPr="00A31E07" w:rsidRDefault="00A31E07" w:rsidP="00A31E07">
      <w:pPr>
        <w:autoSpaceDE w:val="0"/>
        <w:autoSpaceDN w:val="0"/>
        <w:adjustRightInd w:val="0"/>
        <w:spacing w:line="240" w:lineRule="auto"/>
        <w:ind w:left="2268"/>
        <w:jc w:val="both"/>
        <w:rPr>
          <w:rFonts w:ascii="Arial" w:eastAsia="TimesNewRomanPSMT" w:hAnsi="Arial" w:cs="Arial"/>
          <w:sz w:val="20"/>
          <w:szCs w:val="20"/>
        </w:rPr>
      </w:pPr>
      <w:r w:rsidRPr="00A31E07">
        <w:rPr>
          <w:rFonts w:ascii="Arial" w:eastAsia="TimesNewRomanPSMT" w:hAnsi="Arial" w:cs="Arial"/>
          <w:sz w:val="20"/>
          <w:szCs w:val="20"/>
        </w:rPr>
        <w:t>O art. 1.829, inc. I, só assegura ao cônjuge sobrevivente o direito de concorrência com os descendentes do autor da herança quando casados no regime da separação convencional de bens ou, se casados nos regimes da comunhão parcial ou participação final nos aquestos, o falecido possuísse bens particulares, hipóteses em que a concorrência se restringe a tais bens, devendo os bens comuns (meação) ser partilhados exclu</w:t>
      </w:r>
      <w:r w:rsidR="000371A9">
        <w:rPr>
          <w:rFonts w:ascii="Arial" w:eastAsia="TimesNewRomanPSMT" w:hAnsi="Arial" w:cs="Arial"/>
          <w:sz w:val="20"/>
          <w:szCs w:val="20"/>
        </w:rPr>
        <w:t>sivamente entre os descendentes</w:t>
      </w:r>
      <w:r w:rsidR="001D7D27">
        <w:rPr>
          <w:rStyle w:val="Refdenotaderodap"/>
          <w:rFonts w:ascii="Arial" w:eastAsia="TimesNewRomanPSMT" w:hAnsi="Arial" w:cs="Arial"/>
          <w:sz w:val="20"/>
          <w:szCs w:val="20"/>
        </w:rPr>
        <w:footnoteReference w:id="96"/>
      </w:r>
      <w:r w:rsidRPr="00A31E07">
        <w:rPr>
          <w:rFonts w:ascii="Arial" w:eastAsia="TimesNewRomanPSMT" w:hAnsi="Arial" w:cs="Arial"/>
          <w:sz w:val="20"/>
          <w:szCs w:val="20"/>
        </w:rPr>
        <w:t>.</w:t>
      </w:r>
    </w:p>
    <w:p w:rsidR="00A31E07" w:rsidRPr="00A31E07" w:rsidRDefault="00A31E07" w:rsidP="00A31E07">
      <w:pPr>
        <w:autoSpaceDE w:val="0"/>
        <w:autoSpaceDN w:val="0"/>
        <w:adjustRightInd w:val="0"/>
        <w:ind w:firstLine="709"/>
        <w:jc w:val="both"/>
        <w:rPr>
          <w:rFonts w:ascii="Arial" w:hAnsi="Arial" w:cs="Arial"/>
          <w:sz w:val="24"/>
          <w:szCs w:val="24"/>
        </w:rPr>
      </w:pPr>
    </w:p>
    <w:p w:rsidR="00545FAC" w:rsidRDefault="0027426A" w:rsidP="000C0F87">
      <w:pPr>
        <w:tabs>
          <w:tab w:val="left" w:pos="4830"/>
        </w:tabs>
        <w:ind w:firstLine="851"/>
        <w:jc w:val="both"/>
        <w:rPr>
          <w:rFonts w:ascii="Arial" w:hAnsi="Arial" w:cs="Arial"/>
          <w:sz w:val="24"/>
          <w:szCs w:val="24"/>
        </w:rPr>
      </w:pPr>
      <w:r>
        <w:rPr>
          <w:rFonts w:ascii="Arial" w:hAnsi="Arial" w:cs="Arial"/>
          <w:sz w:val="24"/>
          <w:szCs w:val="24"/>
        </w:rPr>
        <w:t xml:space="preserve">O Ministro </w:t>
      </w:r>
      <w:r w:rsidR="00BA719F">
        <w:rPr>
          <w:rFonts w:ascii="Arial" w:hAnsi="Arial" w:cs="Arial"/>
          <w:sz w:val="24"/>
          <w:szCs w:val="24"/>
        </w:rPr>
        <w:t>Raul Araújo</w:t>
      </w:r>
      <w:r>
        <w:rPr>
          <w:rFonts w:ascii="Arial" w:hAnsi="Arial" w:cs="Arial"/>
          <w:sz w:val="24"/>
          <w:szCs w:val="24"/>
        </w:rPr>
        <w:t>,</w:t>
      </w:r>
      <w:r w:rsidR="00545FAC">
        <w:rPr>
          <w:rFonts w:ascii="Arial" w:hAnsi="Arial" w:cs="Arial"/>
          <w:sz w:val="24"/>
          <w:szCs w:val="24"/>
        </w:rPr>
        <w:t xml:space="preserve"> no entanto,</w:t>
      </w:r>
      <w:r>
        <w:rPr>
          <w:rFonts w:ascii="Arial" w:hAnsi="Arial" w:cs="Arial"/>
          <w:sz w:val="24"/>
          <w:szCs w:val="24"/>
        </w:rPr>
        <w:t xml:space="preserve"> acompanhando a divergência lavrada pelo Ministro Otávio de Noronha, sustentou que o regime de bens </w:t>
      </w:r>
      <w:r w:rsidRPr="000371A9">
        <w:rPr>
          <w:rFonts w:ascii="Arial" w:hAnsi="Arial" w:cs="Arial"/>
          <w:sz w:val="24"/>
          <w:szCs w:val="24"/>
        </w:rPr>
        <w:t>“não rege o direito sucessório, embora tenha repercussão neste”,</w:t>
      </w:r>
      <w:r>
        <w:rPr>
          <w:rFonts w:ascii="Times New Roman" w:hAnsi="Times New Roman" w:cs="Times New Roman"/>
          <w:sz w:val="24"/>
          <w:szCs w:val="24"/>
        </w:rPr>
        <w:t xml:space="preserve"> </w:t>
      </w:r>
      <w:r w:rsidRPr="0027426A">
        <w:rPr>
          <w:rFonts w:ascii="Arial" w:hAnsi="Arial" w:cs="Arial"/>
          <w:sz w:val="24"/>
          <w:szCs w:val="24"/>
        </w:rPr>
        <w:t>uma vez que a sociedade conjugal extingue-se com o falecimento de um dos cônjuges</w:t>
      </w:r>
      <w:r>
        <w:rPr>
          <w:rFonts w:ascii="Arial" w:hAnsi="Arial" w:cs="Arial"/>
          <w:sz w:val="24"/>
          <w:szCs w:val="24"/>
        </w:rPr>
        <w:t xml:space="preserve"> (artigo 1.5</w:t>
      </w:r>
      <w:r w:rsidR="001A259A">
        <w:rPr>
          <w:rFonts w:ascii="Arial" w:hAnsi="Arial" w:cs="Arial"/>
          <w:sz w:val="24"/>
          <w:szCs w:val="24"/>
        </w:rPr>
        <w:t>71, inciso I, do Código Civil) incidindo</w:t>
      </w:r>
      <w:r>
        <w:rPr>
          <w:rFonts w:ascii="Arial" w:hAnsi="Arial" w:cs="Arial"/>
          <w:sz w:val="24"/>
          <w:szCs w:val="24"/>
        </w:rPr>
        <w:t>, a partir daí, regras próprias do direito das sucessões</w:t>
      </w:r>
      <w:r w:rsidR="007C68D4">
        <w:rPr>
          <w:rStyle w:val="Refdenotaderodap"/>
          <w:rFonts w:ascii="Arial" w:hAnsi="Arial" w:cs="Arial"/>
          <w:sz w:val="24"/>
          <w:szCs w:val="24"/>
        </w:rPr>
        <w:footnoteReference w:id="97"/>
      </w:r>
      <w:r>
        <w:rPr>
          <w:rFonts w:ascii="Arial" w:hAnsi="Arial" w:cs="Arial"/>
          <w:sz w:val="24"/>
          <w:szCs w:val="24"/>
        </w:rPr>
        <w:t>.</w:t>
      </w:r>
    </w:p>
    <w:p w:rsidR="00B131D2" w:rsidRDefault="007621FF" w:rsidP="000C0F87">
      <w:pPr>
        <w:tabs>
          <w:tab w:val="left" w:pos="4830"/>
        </w:tabs>
        <w:ind w:firstLine="851"/>
        <w:jc w:val="both"/>
        <w:rPr>
          <w:rFonts w:ascii="Arial" w:hAnsi="Arial" w:cs="Arial"/>
          <w:sz w:val="24"/>
          <w:szCs w:val="24"/>
        </w:rPr>
      </w:pPr>
      <w:r>
        <w:rPr>
          <w:rFonts w:ascii="Arial" w:hAnsi="Arial" w:cs="Arial"/>
          <w:sz w:val="24"/>
          <w:szCs w:val="24"/>
        </w:rPr>
        <w:t xml:space="preserve">Assim, por maioria, a decisão foi no sentido de negar provimento ao Recurso Especial interposto pela filha do falecido, mantendo o </w:t>
      </w:r>
      <w:r w:rsidRPr="00450022">
        <w:rPr>
          <w:rFonts w:ascii="Arial" w:hAnsi="Arial" w:cs="Arial"/>
          <w:i/>
          <w:sz w:val="24"/>
          <w:szCs w:val="24"/>
        </w:rPr>
        <w:t>status</w:t>
      </w:r>
      <w:r>
        <w:rPr>
          <w:rFonts w:ascii="Arial" w:hAnsi="Arial" w:cs="Arial"/>
          <w:sz w:val="24"/>
          <w:szCs w:val="24"/>
        </w:rPr>
        <w:t xml:space="preserve"> da e</w:t>
      </w:r>
      <w:r w:rsidR="001D7D27">
        <w:rPr>
          <w:rFonts w:ascii="Arial" w:hAnsi="Arial" w:cs="Arial"/>
          <w:sz w:val="24"/>
          <w:szCs w:val="24"/>
        </w:rPr>
        <w:t>sposa como herdeira necessária.</w:t>
      </w:r>
    </w:p>
    <w:p w:rsidR="001D7D27" w:rsidRPr="001D7D27" w:rsidRDefault="001D7D27" w:rsidP="001D7D27">
      <w:pPr>
        <w:tabs>
          <w:tab w:val="left" w:pos="4830"/>
        </w:tabs>
        <w:ind w:firstLine="709"/>
        <w:jc w:val="both"/>
        <w:rPr>
          <w:rFonts w:ascii="Arial" w:hAnsi="Arial" w:cs="Arial"/>
          <w:sz w:val="24"/>
          <w:szCs w:val="24"/>
        </w:rPr>
      </w:pPr>
    </w:p>
    <w:p w:rsidR="004461E8" w:rsidRPr="000A02A6" w:rsidRDefault="006C6687" w:rsidP="0050012A">
      <w:pPr>
        <w:tabs>
          <w:tab w:val="left" w:pos="4830"/>
        </w:tabs>
        <w:jc w:val="both"/>
        <w:rPr>
          <w:rFonts w:ascii="Arial" w:hAnsi="Arial" w:cs="Arial"/>
          <w:b/>
          <w:sz w:val="24"/>
          <w:szCs w:val="24"/>
        </w:rPr>
      </w:pPr>
      <w:r w:rsidRPr="000A02A6">
        <w:rPr>
          <w:rFonts w:ascii="Arial" w:hAnsi="Arial" w:cs="Arial"/>
          <w:b/>
          <w:sz w:val="24"/>
          <w:szCs w:val="24"/>
        </w:rPr>
        <w:t>9</w:t>
      </w:r>
      <w:r w:rsidR="005A218B" w:rsidRPr="000A02A6">
        <w:rPr>
          <w:rFonts w:ascii="Arial" w:hAnsi="Arial" w:cs="Arial"/>
          <w:b/>
          <w:sz w:val="24"/>
          <w:szCs w:val="24"/>
        </w:rPr>
        <w:t xml:space="preserve"> </w:t>
      </w:r>
      <w:r w:rsidR="000A02A6" w:rsidRPr="000A02A6">
        <w:rPr>
          <w:rFonts w:ascii="Arial" w:hAnsi="Arial" w:cs="Arial"/>
          <w:b/>
          <w:sz w:val="24"/>
          <w:szCs w:val="24"/>
        </w:rPr>
        <w:t xml:space="preserve">NECESSIDADE DE ALTERAÇÃO LEGISLATIVA </w:t>
      </w:r>
    </w:p>
    <w:p w:rsidR="004461E8" w:rsidRPr="006423B3" w:rsidRDefault="004461E8" w:rsidP="0050012A">
      <w:pPr>
        <w:tabs>
          <w:tab w:val="left" w:pos="4830"/>
        </w:tabs>
        <w:jc w:val="both"/>
        <w:rPr>
          <w:rFonts w:ascii="Arial" w:hAnsi="Arial" w:cs="Arial"/>
          <w:b/>
          <w:sz w:val="24"/>
          <w:szCs w:val="24"/>
        </w:rPr>
      </w:pPr>
    </w:p>
    <w:p w:rsidR="00AA1B9B" w:rsidRDefault="00AA1B9B"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A partir das teorizações e casos concretos expostos, torna-se possível dimensionar as consequências positivas e negativas advindas de cada corrente interpretativa do artigo 1.829, inciso I, do Código Civil. </w:t>
      </w:r>
    </w:p>
    <w:p w:rsidR="00AA1B9B" w:rsidRDefault="007D265A" w:rsidP="000C0F87">
      <w:pPr>
        <w:autoSpaceDE w:val="0"/>
        <w:autoSpaceDN w:val="0"/>
        <w:adjustRightInd w:val="0"/>
        <w:ind w:firstLine="851"/>
        <w:jc w:val="both"/>
        <w:rPr>
          <w:rFonts w:ascii="Arial" w:hAnsi="Arial" w:cs="Arial"/>
          <w:sz w:val="24"/>
          <w:szCs w:val="24"/>
        </w:rPr>
      </w:pPr>
      <w:r>
        <w:rPr>
          <w:rFonts w:ascii="Arial" w:hAnsi="Arial" w:cs="Arial"/>
          <w:sz w:val="24"/>
          <w:szCs w:val="24"/>
        </w:rPr>
        <w:t>Por</w:t>
      </w:r>
      <w:r w:rsidR="00AA1B9B">
        <w:rPr>
          <w:rFonts w:ascii="Arial" w:hAnsi="Arial" w:cs="Arial"/>
          <w:sz w:val="24"/>
          <w:szCs w:val="24"/>
        </w:rPr>
        <w:t xml:space="preserve"> um lado, </w:t>
      </w:r>
      <w:r>
        <w:rPr>
          <w:rFonts w:ascii="Arial" w:hAnsi="Arial" w:cs="Arial"/>
          <w:sz w:val="24"/>
          <w:szCs w:val="24"/>
        </w:rPr>
        <w:t xml:space="preserve">é de se reconhecer que a doutrina majoritária, ao considerar o cônjuge sobrevivente casado sob o regime de separação convencional de bens como herdeiro necessário (concorrendo com os descendentes do falecido), interpreta a </w:t>
      </w:r>
      <w:r w:rsidR="009916F7">
        <w:rPr>
          <w:rFonts w:ascii="Arial" w:hAnsi="Arial" w:cs="Arial"/>
          <w:sz w:val="24"/>
          <w:szCs w:val="24"/>
        </w:rPr>
        <w:t>lei</w:t>
      </w:r>
      <w:r w:rsidR="00A167F9">
        <w:rPr>
          <w:rFonts w:ascii="Arial" w:hAnsi="Arial" w:cs="Arial"/>
          <w:sz w:val="24"/>
          <w:szCs w:val="24"/>
        </w:rPr>
        <w:t xml:space="preserve"> de forma correta, sob o viés literal</w:t>
      </w:r>
      <w:r>
        <w:rPr>
          <w:rFonts w:ascii="Arial" w:hAnsi="Arial" w:cs="Arial"/>
          <w:sz w:val="24"/>
          <w:szCs w:val="24"/>
        </w:rPr>
        <w:t xml:space="preserve">. </w:t>
      </w:r>
      <w:r w:rsidR="009916F7">
        <w:rPr>
          <w:rFonts w:ascii="Arial" w:hAnsi="Arial" w:cs="Arial"/>
          <w:sz w:val="24"/>
          <w:szCs w:val="24"/>
        </w:rPr>
        <w:t>Isso porque reconhece</w:t>
      </w:r>
      <w:r>
        <w:rPr>
          <w:rFonts w:ascii="Arial" w:hAnsi="Arial" w:cs="Arial"/>
          <w:sz w:val="24"/>
          <w:szCs w:val="24"/>
        </w:rPr>
        <w:t xml:space="preserve"> que ao mencionar </w:t>
      </w:r>
      <w:r>
        <w:rPr>
          <w:rFonts w:ascii="Arial" w:hAnsi="Arial" w:cs="Arial"/>
          <w:sz w:val="24"/>
          <w:szCs w:val="24"/>
        </w:rPr>
        <w:lastRenderedPageBreak/>
        <w:t>“separação obrigatória de bens”, a intenção do legislador foi se referir à hipótese de separação legal</w:t>
      </w:r>
      <w:r w:rsidR="008C42AF">
        <w:rPr>
          <w:rStyle w:val="Refdenotaderodap"/>
          <w:rFonts w:ascii="Arial" w:hAnsi="Arial" w:cs="Arial"/>
          <w:sz w:val="24"/>
          <w:szCs w:val="24"/>
        </w:rPr>
        <w:footnoteReference w:id="98"/>
      </w:r>
      <w:r>
        <w:rPr>
          <w:rFonts w:ascii="Arial" w:hAnsi="Arial" w:cs="Arial"/>
          <w:sz w:val="24"/>
          <w:szCs w:val="24"/>
        </w:rPr>
        <w:t xml:space="preserve">. </w:t>
      </w:r>
    </w:p>
    <w:p w:rsidR="007D265A" w:rsidRDefault="007D265A" w:rsidP="000C0F87">
      <w:pPr>
        <w:autoSpaceDE w:val="0"/>
        <w:autoSpaceDN w:val="0"/>
        <w:adjustRightInd w:val="0"/>
        <w:ind w:firstLine="851"/>
        <w:jc w:val="both"/>
        <w:rPr>
          <w:rFonts w:ascii="Arial" w:hAnsi="Arial" w:cs="Arial"/>
          <w:sz w:val="24"/>
          <w:szCs w:val="24"/>
        </w:rPr>
      </w:pPr>
      <w:r>
        <w:rPr>
          <w:rFonts w:ascii="Arial" w:hAnsi="Arial" w:cs="Arial"/>
          <w:sz w:val="24"/>
          <w:szCs w:val="24"/>
        </w:rPr>
        <w:t>Discorda-se, portanto, nesse ponto específico, da vertente defendida pelo ilustre Miguel Reale, a qual pressupõe que o adjetivo “obrigatória” alude ao caráter cogente da norma, e não à espécie de separação de bens</w:t>
      </w:r>
      <w:r w:rsidR="008C42AF">
        <w:rPr>
          <w:rStyle w:val="Refdenotaderodap"/>
          <w:rFonts w:ascii="Arial" w:hAnsi="Arial" w:cs="Arial"/>
          <w:sz w:val="24"/>
          <w:szCs w:val="24"/>
        </w:rPr>
        <w:footnoteReference w:id="99"/>
      </w:r>
      <w:r>
        <w:rPr>
          <w:rFonts w:ascii="Arial" w:hAnsi="Arial" w:cs="Arial"/>
          <w:sz w:val="24"/>
          <w:szCs w:val="24"/>
        </w:rPr>
        <w:t>.</w:t>
      </w:r>
    </w:p>
    <w:p w:rsidR="007D265A" w:rsidRDefault="007D265A"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Isso porque o próprio artigo 1.641, do Código Civil, que disciplina o regime da separação legal de bens, é redigido da seguinte forma: </w:t>
      </w:r>
      <w:r w:rsidRPr="007D265A">
        <w:rPr>
          <w:rFonts w:ascii="Arial" w:hAnsi="Arial" w:cs="Arial"/>
          <w:i/>
          <w:sz w:val="24"/>
          <w:szCs w:val="24"/>
        </w:rPr>
        <w:t xml:space="preserve">É </w:t>
      </w:r>
      <w:r w:rsidRPr="007D265A">
        <w:rPr>
          <w:rFonts w:ascii="Arial" w:hAnsi="Arial" w:cs="Arial"/>
          <w:b/>
          <w:i/>
          <w:sz w:val="24"/>
          <w:szCs w:val="24"/>
        </w:rPr>
        <w:t>obrigatório</w:t>
      </w:r>
      <w:r w:rsidRPr="007D265A">
        <w:rPr>
          <w:rFonts w:ascii="Arial" w:hAnsi="Arial" w:cs="Arial"/>
          <w:i/>
          <w:sz w:val="24"/>
          <w:szCs w:val="24"/>
        </w:rPr>
        <w:t xml:space="preserve"> o regime da separação de bens no casamento: (...)</w:t>
      </w:r>
      <w:r>
        <w:rPr>
          <w:rFonts w:ascii="Arial" w:hAnsi="Arial" w:cs="Arial"/>
          <w:sz w:val="24"/>
          <w:szCs w:val="24"/>
        </w:rPr>
        <w:t xml:space="preserve"> (grifou-se). Resta claro, portanto, que o artigo 1.829, inciso I, ao mencionar a separação obrigatória de bens como uma exceção à regra da concorrência do cônjuge sobre a herança com os descendentes do falecido, quis fazê-lo tão somente para a hipótese da separação legal de bens, vale dizer, separação obrigatória de bens</w:t>
      </w:r>
      <w:r w:rsidR="008C42AF">
        <w:rPr>
          <w:rStyle w:val="Refdenotaderodap"/>
          <w:rFonts w:ascii="Arial" w:hAnsi="Arial" w:cs="Arial"/>
          <w:sz w:val="24"/>
          <w:szCs w:val="24"/>
        </w:rPr>
        <w:footnoteReference w:id="100"/>
      </w:r>
      <w:r>
        <w:rPr>
          <w:rFonts w:ascii="Arial" w:hAnsi="Arial" w:cs="Arial"/>
          <w:sz w:val="24"/>
          <w:szCs w:val="24"/>
        </w:rPr>
        <w:t>.</w:t>
      </w:r>
    </w:p>
    <w:p w:rsidR="007D265A" w:rsidRDefault="00EF2F41"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Caso assim não fosse, </w:t>
      </w:r>
      <w:r w:rsidR="0036797E">
        <w:rPr>
          <w:rFonts w:ascii="Arial" w:hAnsi="Arial" w:cs="Arial"/>
          <w:sz w:val="24"/>
          <w:szCs w:val="24"/>
        </w:rPr>
        <w:t>teria</w:t>
      </w:r>
      <w:r>
        <w:rPr>
          <w:rFonts w:ascii="Arial" w:hAnsi="Arial" w:cs="Arial"/>
          <w:sz w:val="24"/>
          <w:szCs w:val="24"/>
        </w:rPr>
        <w:t xml:space="preserve"> a norma elencado, </w:t>
      </w:r>
      <w:r w:rsidR="00C84946">
        <w:rPr>
          <w:rFonts w:ascii="Arial" w:hAnsi="Arial" w:cs="Arial"/>
          <w:sz w:val="24"/>
          <w:szCs w:val="24"/>
        </w:rPr>
        <w:t xml:space="preserve">expressamente, </w:t>
      </w:r>
      <w:r>
        <w:rPr>
          <w:rFonts w:ascii="Arial" w:hAnsi="Arial" w:cs="Arial"/>
          <w:sz w:val="24"/>
          <w:szCs w:val="24"/>
        </w:rPr>
        <w:t xml:space="preserve">a hipótese de separação convencional de bens. </w:t>
      </w:r>
    </w:p>
    <w:p w:rsidR="00B5727C" w:rsidRPr="00523D71" w:rsidRDefault="0036797E"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Sobre a polêmica, o próprio jusfilósofo Miguel Reale adverte que </w:t>
      </w:r>
      <w:r w:rsidRPr="00523D71">
        <w:rPr>
          <w:rFonts w:ascii="Arial" w:hAnsi="Arial" w:cs="Arial"/>
          <w:sz w:val="24"/>
          <w:szCs w:val="24"/>
        </w:rPr>
        <w:t xml:space="preserve">“se no entanto, apesar da argumentação por mim desenvolvida, ainda persistir a dúvida sobre o inc. I do art. 1829, o remédio será </w:t>
      </w:r>
      <w:r w:rsidR="003B5084" w:rsidRPr="00523D71">
        <w:rPr>
          <w:rFonts w:ascii="Arial" w:hAnsi="Arial" w:cs="Arial"/>
          <w:sz w:val="24"/>
          <w:szCs w:val="24"/>
        </w:rPr>
        <w:t>emendá</w:t>
      </w:r>
      <w:r w:rsidRPr="00523D71">
        <w:rPr>
          <w:rFonts w:ascii="Arial" w:hAnsi="Arial" w:cs="Arial"/>
          <w:sz w:val="24"/>
          <w:szCs w:val="24"/>
        </w:rPr>
        <w:t>-lo, eliminando o adjetivo obrigatória”</w:t>
      </w:r>
      <w:r w:rsidRPr="00523D71">
        <w:rPr>
          <w:rStyle w:val="Refdenotaderodap"/>
          <w:rFonts w:ascii="Arial" w:hAnsi="Arial" w:cs="Arial"/>
          <w:sz w:val="24"/>
          <w:szCs w:val="24"/>
        </w:rPr>
        <w:footnoteReference w:id="101"/>
      </w:r>
      <w:r w:rsidRPr="00523D71">
        <w:rPr>
          <w:rFonts w:ascii="Arial" w:hAnsi="Arial" w:cs="Arial"/>
          <w:sz w:val="24"/>
          <w:szCs w:val="24"/>
        </w:rPr>
        <w:t>.</w:t>
      </w:r>
    </w:p>
    <w:p w:rsidR="004D0235" w:rsidRDefault="00A167F9" w:rsidP="000C0F87">
      <w:pPr>
        <w:autoSpaceDE w:val="0"/>
        <w:autoSpaceDN w:val="0"/>
        <w:adjustRightInd w:val="0"/>
        <w:ind w:firstLine="851"/>
        <w:jc w:val="both"/>
        <w:rPr>
          <w:rFonts w:ascii="Arial" w:hAnsi="Arial" w:cs="Arial"/>
          <w:sz w:val="24"/>
          <w:szCs w:val="24"/>
        </w:rPr>
      </w:pPr>
      <w:r>
        <w:rPr>
          <w:rFonts w:ascii="Arial" w:hAnsi="Arial" w:cs="Arial"/>
          <w:sz w:val="24"/>
          <w:szCs w:val="24"/>
        </w:rPr>
        <w:t>Porém</w:t>
      </w:r>
      <w:r w:rsidR="0036797E">
        <w:rPr>
          <w:rFonts w:ascii="Arial" w:hAnsi="Arial" w:cs="Arial"/>
          <w:sz w:val="24"/>
          <w:szCs w:val="24"/>
        </w:rPr>
        <w:t>,</w:t>
      </w:r>
      <w:r w:rsidR="00EF2F41">
        <w:rPr>
          <w:rFonts w:ascii="Arial" w:hAnsi="Arial" w:cs="Arial"/>
          <w:sz w:val="24"/>
          <w:szCs w:val="24"/>
        </w:rPr>
        <w:t xml:space="preserve"> n</w:t>
      </w:r>
      <w:r w:rsidR="00235489">
        <w:rPr>
          <w:rFonts w:ascii="Arial" w:hAnsi="Arial" w:cs="Arial"/>
          <w:sz w:val="24"/>
          <w:szCs w:val="24"/>
        </w:rPr>
        <w:t>ão se olvidando da posição</w:t>
      </w:r>
      <w:r w:rsidR="00F363D5">
        <w:rPr>
          <w:rFonts w:ascii="Arial" w:hAnsi="Arial" w:cs="Arial"/>
          <w:sz w:val="24"/>
          <w:szCs w:val="24"/>
        </w:rPr>
        <w:t xml:space="preserve"> </w:t>
      </w:r>
      <w:r w:rsidR="00235489">
        <w:rPr>
          <w:rFonts w:ascii="Arial" w:hAnsi="Arial" w:cs="Arial"/>
          <w:sz w:val="24"/>
          <w:szCs w:val="24"/>
        </w:rPr>
        <w:t xml:space="preserve">que vislumbra, </w:t>
      </w:r>
      <w:r w:rsidR="00EF2F41">
        <w:rPr>
          <w:rFonts w:ascii="Arial" w:hAnsi="Arial" w:cs="Arial"/>
          <w:sz w:val="24"/>
          <w:szCs w:val="24"/>
        </w:rPr>
        <w:t xml:space="preserve">corretamente, </w:t>
      </w:r>
      <w:r w:rsidR="00235489">
        <w:rPr>
          <w:rFonts w:ascii="Arial" w:hAnsi="Arial" w:cs="Arial"/>
          <w:sz w:val="24"/>
          <w:szCs w:val="24"/>
        </w:rPr>
        <w:t>no artigo 1.829, inciso I,</w:t>
      </w:r>
      <w:r w:rsidR="0036797E">
        <w:rPr>
          <w:rFonts w:ascii="Arial" w:hAnsi="Arial" w:cs="Arial"/>
          <w:sz w:val="24"/>
          <w:szCs w:val="24"/>
        </w:rPr>
        <w:t xml:space="preserve"> norma clara</w:t>
      </w:r>
      <w:r w:rsidR="0036797E">
        <w:rPr>
          <w:rStyle w:val="Refdenotaderodap"/>
          <w:rFonts w:ascii="Arial" w:hAnsi="Arial" w:cs="Arial"/>
          <w:sz w:val="24"/>
          <w:szCs w:val="24"/>
        </w:rPr>
        <w:footnoteReference w:id="102"/>
      </w:r>
      <w:r w:rsidR="00235489">
        <w:rPr>
          <w:rFonts w:ascii="Arial" w:hAnsi="Arial" w:cs="Arial"/>
          <w:sz w:val="24"/>
          <w:szCs w:val="24"/>
        </w:rPr>
        <w:t xml:space="preserve"> (garantindo</w:t>
      </w:r>
      <w:r w:rsidR="00455F49">
        <w:rPr>
          <w:rFonts w:ascii="Arial" w:hAnsi="Arial" w:cs="Arial"/>
          <w:sz w:val="24"/>
          <w:szCs w:val="24"/>
        </w:rPr>
        <w:t xml:space="preserve"> ao cônjuge sobrevivente casado sob o </w:t>
      </w:r>
      <w:r w:rsidR="00455F49">
        <w:rPr>
          <w:rFonts w:ascii="Arial" w:hAnsi="Arial" w:cs="Arial"/>
          <w:sz w:val="24"/>
          <w:szCs w:val="24"/>
        </w:rPr>
        <w:lastRenderedPageBreak/>
        <w:t>regime de separação convencional de bens</w:t>
      </w:r>
      <w:r w:rsidR="00235489">
        <w:rPr>
          <w:rFonts w:ascii="Arial" w:hAnsi="Arial" w:cs="Arial"/>
          <w:sz w:val="24"/>
          <w:szCs w:val="24"/>
        </w:rPr>
        <w:t xml:space="preserve"> a concorrência sobre a herança do falecido com os descendentes e ascendentes</w:t>
      </w:r>
      <w:r w:rsidR="00F363D5">
        <w:rPr>
          <w:rFonts w:ascii="Arial" w:hAnsi="Arial" w:cs="Arial"/>
          <w:sz w:val="24"/>
          <w:szCs w:val="24"/>
        </w:rPr>
        <w:t>, já que não ostenta a posição de meeiro</w:t>
      </w:r>
      <w:r w:rsidR="00235489">
        <w:rPr>
          <w:rFonts w:ascii="Arial" w:hAnsi="Arial" w:cs="Arial"/>
          <w:sz w:val="24"/>
          <w:szCs w:val="24"/>
        </w:rPr>
        <w:t xml:space="preserve">), </w:t>
      </w:r>
      <w:r w:rsidR="00F363D5">
        <w:rPr>
          <w:rFonts w:ascii="Arial" w:hAnsi="Arial" w:cs="Arial"/>
          <w:sz w:val="24"/>
          <w:szCs w:val="24"/>
        </w:rPr>
        <w:t>fato é que o</w:t>
      </w:r>
      <w:r w:rsidR="000A7EB4">
        <w:rPr>
          <w:rFonts w:ascii="Arial" w:hAnsi="Arial" w:cs="Arial"/>
          <w:sz w:val="24"/>
          <w:szCs w:val="24"/>
        </w:rPr>
        <w:t xml:space="preserve"> mencionado</w:t>
      </w:r>
      <w:r w:rsidR="00F363D5">
        <w:rPr>
          <w:rFonts w:ascii="Arial" w:hAnsi="Arial" w:cs="Arial"/>
          <w:sz w:val="24"/>
          <w:szCs w:val="24"/>
        </w:rPr>
        <w:t xml:space="preserve"> dispositivo apresenta</w:t>
      </w:r>
      <w:r w:rsidR="00455F49">
        <w:rPr>
          <w:rFonts w:ascii="Arial" w:hAnsi="Arial" w:cs="Arial"/>
          <w:sz w:val="24"/>
          <w:szCs w:val="24"/>
        </w:rPr>
        <w:t xml:space="preserve"> inegáveis</w:t>
      </w:r>
      <w:r w:rsidR="00F363D5">
        <w:rPr>
          <w:rFonts w:ascii="Arial" w:hAnsi="Arial" w:cs="Arial"/>
          <w:sz w:val="24"/>
          <w:szCs w:val="24"/>
        </w:rPr>
        <w:t xml:space="preserve"> impropriedades</w:t>
      </w:r>
      <w:r w:rsidR="002B005B">
        <w:rPr>
          <w:rStyle w:val="Refdenotaderodap"/>
          <w:rFonts w:ascii="Arial" w:hAnsi="Arial" w:cs="Arial"/>
          <w:sz w:val="24"/>
          <w:szCs w:val="24"/>
        </w:rPr>
        <w:footnoteReference w:id="103"/>
      </w:r>
      <w:r w:rsidR="00F363D5">
        <w:rPr>
          <w:rFonts w:ascii="Arial" w:hAnsi="Arial" w:cs="Arial"/>
          <w:sz w:val="24"/>
          <w:szCs w:val="24"/>
        </w:rPr>
        <w:t xml:space="preserve">. </w:t>
      </w:r>
    </w:p>
    <w:p w:rsidR="00F363D5" w:rsidRDefault="00F363D5" w:rsidP="000C0F87">
      <w:pPr>
        <w:autoSpaceDE w:val="0"/>
        <w:autoSpaceDN w:val="0"/>
        <w:adjustRightInd w:val="0"/>
        <w:ind w:firstLine="851"/>
        <w:jc w:val="both"/>
        <w:rPr>
          <w:rFonts w:ascii="Arial" w:hAnsi="Arial" w:cs="Arial"/>
          <w:sz w:val="24"/>
          <w:szCs w:val="24"/>
        </w:rPr>
      </w:pPr>
      <w:r>
        <w:rPr>
          <w:rFonts w:ascii="Arial" w:hAnsi="Arial" w:cs="Arial"/>
          <w:sz w:val="24"/>
          <w:szCs w:val="24"/>
        </w:rPr>
        <w:t>Tanto é assim que os debates analisados no presente artigo não se estancaram com o recente posicionamento do STJ anteriormente aprofundado, tendo, ao revés, suscitado ainda mais discussões e dissensos doutrinários acerca do tema.</w:t>
      </w:r>
    </w:p>
    <w:p w:rsidR="009916F7" w:rsidRDefault="00C84946"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Desse modo, </w:t>
      </w:r>
      <w:r w:rsidR="00785F10">
        <w:rPr>
          <w:rFonts w:ascii="Arial" w:hAnsi="Arial" w:cs="Arial"/>
          <w:sz w:val="24"/>
          <w:szCs w:val="24"/>
        </w:rPr>
        <w:t xml:space="preserve">a primeira impropriedade diz respeito à redação do dispositivo, que, conforme adiantado, ao mencionar “separação obrigatória de bens”, alude entre parênteses ao artigo “1.640, </w:t>
      </w:r>
      <w:r w:rsidR="00AE0368">
        <w:rPr>
          <w:rFonts w:ascii="Arial" w:hAnsi="Arial" w:cs="Arial"/>
          <w:sz w:val="24"/>
          <w:szCs w:val="24"/>
        </w:rPr>
        <w:t xml:space="preserve">parágrafo único, </w:t>
      </w:r>
      <w:r w:rsidR="00785F10">
        <w:rPr>
          <w:rFonts w:ascii="Arial" w:hAnsi="Arial" w:cs="Arial"/>
          <w:sz w:val="24"/>
          <w:szCs w:val="24"/>
        </w:rPr>
        <w:t xml:space="preserve">do Código Civil”, que não se refere nem </w:t>
      </w:r>
      <w:r w:rsidR="009916F7">
        <w:rPr>
          <w:rFonts w:ascii="Arial" w:hAnsi="Arial" w:cs="Arial"/>
          <w:sz w:val="24"/>
          <w:szCs w:val="24"/>
        </w:rPr>
        <w:t>ao regime legal e nem à separação convencional</w:t>
      </w:r>
      <w:r w:rsidR="00A5779E">
        <w:rPr>
          <w:rStyle w:val="Refdenotaderodap"/>
          <w:rFonts w:ascii="Arial" w:hAnsi="Arial" w:cs="Arial"/>
          <w:sz w:val="24"/>
          <w:szCs w:val="24"/>
        </w:rPr>
        <w:footnoteReference w:id="104"/>
      </w:r>
      <w:r w:rsidR="009916F7">
        <w:rPr>
          <w:rFonts w:ascii="Arial" w:hAnsi="Arial" w:cs="Arial"/>
          <w:sz w:val="24"/>
          <w:szCs w:val="24"/>
        </w:rPr>
        <w:t xml:space="preserve">. </w:t>
      </w:r>
    </w:p>
    <w:p w:rsidR="00740E32" w:rsidRDefault="00740E32" w:rsidP="000C0F87">
      <w:pPr>
        <w:tabs>
          <w:tab w:val="left" w:pos="2415"/>
        </w:tabs>
        <w:autoSpaceDE w:val="0"/>
        <w:autoSpaceDN w:val="0"/>
        <w:adjustRightInd w:val="0"/>
        <w:ind w:firstLine="851"/>
        <w:jc w:val="both"/>
        <w:rPr>
          <w:rFonts w:ascii="Arial" w:hAnsi="Arial" w:cs="Arial"/>
          <w:sz w:val="24"/>
          <w:szCs w:val="24"/>
        </w:rPr>
      </w:pPr>
      <w:r>
        <w:rPr>
          <w:rFonts w:ascii="Arial" w:hAnsi="Arial" w:cs="Arial"/>
          <w:sz w:val="24"/>
          <w:szCs w:val="24"/>
        </w:rPr>
        <w:t xml:space="preserve">Assim, o dispositivo em comento ostenta erro material que, em meio a diversos posicionamentos doutrinários, obsta, ainda mais, a compreensão da </w:t>
      </w:r>
      <w:r w:rsidR="00EE6D67">
        <w:rPr>
          <w:rFonts w:ascii="Arial" w:hAnsi="Arial" w:cs="Arial"/>
          <w:sz w:val="24"/>
          <w:szCs w:val="24"/>
        </w:rPr>
        <w:t xml:space="preserve">real </w:t>
      </w:r>
      <w:r>
        <w:rPr>
          <w:rFonts w:ascii="Arial" w:hAnsi="Arial" w:cs="Arial"/>
          <w:sz w:val="24"/>
          <w:szCs w:val="24"/>
        </w:rPr>
        <w:t>intenção do legislador.</w:t>
      </w:r>
    </w:p>
    <w:p w:rsidR="00C5243E" w:rsidRDefault="00D663F9"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Nada obstante a correta interpretação </w:t>
      </w:r>
      <w:r w:rsidR="00EE6D67">
        <w:rPr>
          <w:rFonts w:ascii="Arial" w:hAnsi="Arial" w:cs="Arial"/>
          <w:sz w:val="24"/>
          <w:szCs w:val="24"/>
        </w:rPr>
        <w:t xml:space="preserve">da norma </w:t>
      </w:r>
      <w:r w:rsidR="00580859">
        <w:rPr>
          <w:rFonts w:ascii="Arial" w:hAnsi="Arial" w:cs="Arial"/>
          <w:sz w:val="24"/>
          <w:szCs w:val="24"/>
        </w:rPr>
        <w:t>segundo o recente entendimento do STJ</w:t>
      </w:r>
      <w:r w:rsidR="00EE6D67">
        <w:rPr>
          <w:rFonts w:ascii="Arial" w:hAnsi="Arial" w:cs="Arial"/>
          <w:sz w:val="24"/>
          <w:szCs w:val="24"/>
        </w:rPr>
        <w:t xml:space="preserve"> </w:t>
      </w:r>
      <w:r>
        <w:rPr>
          <w:rFonts w:ascii="Arial" w:hAnsi="Arial" w:cs="Arial"/>
          <w:sz w:val="24"/>
          <w:szCs w:val="24"/>
        </w:rPr>
        <w:t>– sob uma perspectiva estritamente legal</w:t>
      </w:r>
      <w:r w:rsidR="00EE6D67">
        <w:rPr>
          <w:rFonts w:ascii="Arial" w:hAnsi="Arial" w:cs="Arial"/>
          <w:sz w:val="24"/>
          <w:szCs w:val="24"/>
        </w:rPr>
        <w:t>ista –</w:t>
      </w:r>
      <w:r>
        <w:rPr>
          <w:rFonts w:ascii="Arial" w:hAnsi="Arial" w:cs="Arial"/>
          <w:sz w:val="24"/>
          <w:szCs w:val="24"/>
        </w:rPr>
        <w:t xml:space="preserve">, no sentido de que a lei somente excluiu da concorrência sobre a herança os viúvos casados sob o regime de separação legal de bens, </w:t>
      </w:r>
      <w:r w:rsidR="00C5243E">
        <w:rPr>
          <w:rFonts w:ascii="Arial" w:hAnsi="Arial" w:cs="Arial"/>
          <w:sz w:val="24"/>
          <w:szCs w:val="24"/>
        </w:rPr>
        <w:t xml:space="preserve">verifica-se que a posição </w:t>
      </w:r>
      <w:r>
        <w:rPr>
          <w:rFonts w:ascii="Arial" w:hAnsi="Arial" w:cs="Arial"/>
          <w:sz w:val="24"/>
          <w:szCs w:val="24"/>
        </w:rPr>
        <w:t>prevalecente</w:t>
      </w:r>
      <w:r w:rsidR="00C5243E">
        <w:rPr>
          <w:rFonts w:ascii="Arial" w:hAnsi="Arial" w:cs="Arial"/>
          <w:sz w:val="24"/>
          <w:szCs w:val="24"/>
        </w:rPr>
        <w:t xml:space="preserve">, </w:t>
      </w:r>
      <w:r w:rsidR="00C5243E" w:rsidRPr="004145F7">
        <w:rPr>
          <w:rFonts w:ascii="Arial" w:hAnsi="Arial" w:cs="Arial"/>
          <w:i/>
          <w:sz w:val="24"/>
          <w:szCs w:val="24"/>
        </w:rPr>
        <w:t xml:space="preserve">data vênia, </w:t>
      </w:r>
      <w:r w:rsidR="00C5243E">
        <w:rPr>
          <w:rFonts w:ascii="Arial" w:hAnsi="Arial" w:cs="Arial"/>
          <w:sz w:val="24"/>
          <w:szCs w:val="24"/>
        </w:rPr>
        <w:t>enseja insegurança jurídica para o cônjuge</w:t>
      </w:r>
      <w:r w:rsidR="000A7EB4">
        <w:rPr>
          <w:rFonts w:ascii="Arial" w:hAnsi="Arial" w:cs="Arial"/>
          <w:sz w:val="24"/>
          <w:szCs w:val="24"/>
        </w:rPr>
        <w:t>.</w:t>
      </w:r>
      <w:r>
        <w:rPr>
          <w:rFonts w:ascii="Arial" w:hAnsi="Arial" w:cs="Arial"/>
          <w:sz w:val="24"/>
          <w:szCs w:val="24"/>
        </w:rPr>
        <w:t xml:space="preserve"> </w:t>
      </w:r>
    </w:p>
    <w:p w:rsidR="00D663F9" w:rsidRDefault="00D663F9"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Isso porque </w:t>
      </w:r>
      <w:r w:rsidR="003B5084">
        <w:rPr>
          <w:rFonts w:ascii="Arial" w:hAnsi="Arial" w:cs="Arial"/>
          <w:sz w:val="24"/>
          <w:szCs w:val="24"/>
        </w:rPr>
        <w:t>a segunda impropriedade do artigo 1.</w:t>
      </w:r>
      <w:r w:rsidR="00AE0368">
        <w:rPr>
          <w:rFonts w:ascii="Arial" w:hAnsi="Arial" w:cs="Arial"/>
          <w:sz w:val="24"/>
          <w:szCs w:val="24"/>
        </w:rPr>
        <w:t xml:space="preserve">829, inciso I, do Código Civil </w:t>
      </w:r>
      <w:r w:rsidR="003B5084">
        <w:rPr>
          <w:rFonts w:ascii="Arial" w:hAnsi="Arial" w:cs="Arial"/>
          <w:sz w:val="24"/>
          <w:szCs w:val="24"/>
        </w:rPr>
        <w:t>diz respeito à inegável incongruência entre os regimes matrimonial e sucessório</w:t>
      </w:r>
      <w:r w:rsidR="003B5084">
        <w:rPr>
          <w:rStyle w:val="Refdenotaderodap"/>
          <w:rFonts w:ascii="Arial" w:hAnsi="Arial" w:cs="Arial"/>
          <w:sz w:val="24"/>
          <w:szCs w:val="24"/>
        </w:rPr>
        <w:footnoteReference w:id="105"/>
      </w:r>
      <w:r w:rsidR="00197D24">
        <w:rPr>
          <w:rFonts w:ascii="Arial" w:hAnsi="Arial" w:cs="Arial"/>
          <w:sz w:val="24"/>
          <w:szCs w:val="24"/>
        </w:rPr>
        <w:t xml:space="preserve"> promovida pela lei. O cônjuge que, em vida, expressar </w:t>
      </w:r>
      <w:r>
        <w:rPr>
          <w:rFonts w:ascii="Arial" w:hAnsi="Arial" w:cs="Arial"/>
          <w:sz w:val="24"/>
          <w:szCs w:val="24"/>
        </w:rPr>
        <w:t>sua vontade de dissociar seu patrimônio, sofrerá</w:t>
      </w:r>
      <w:r w:rsidR="00197D24">
        <w:rPr>
          <w:rFonts w:ascii="Arial" w:hAnsi="Arial" w:cs="Arial"/>
          <w:sz w:val="24"/>
          <w:szCs w:val="24"/>
        </w:rPr>
        <w:t xml:space="preserve"> angústia de que, após seu falecimento, sua vontade venha a ser suplantada pelo regime sucessório</w:t>
      </w:r>
      <w:r w:rsidR="00250AD6">
        <w:rPr>
          <w:rStyle w:val="Refdenotaderodap"/>
          <w:rFonts w:ascii="Arial" w:hAnsi="Arial" w:cs="Arial"/>
          <w:sz w:val="24"/>
          <w:szCs w:val="24"/>
        </w:rPr>
        <w:footnoteReference w:id="106"/>
      </w:r>
      <w:r w:rsidR="00197D24">
        <w:rPr>
          <w:rFonts w:ascii="Arial" w:hAnsi="Arial" w:cs="Arial"/>
          <w:sz w:val="24"/>
          <w:szCs w:val="24"/>
        </w:rPr>
        <w:t>.</w:t>
      </w:r>
    </w:p>
    <w:p w:rsidR="00C5243E" w:rsidRDefault="00197D24" w:rsidP="000C0F87">
      <w:pPr>
        <w:ind w:firstLine="851"/>
        <w:jc w:val="both"/>
        <w:rPr>
          <w:rFonts w:ascii="Arial" w:hAnsi="Arial" w:cs="Arial"/>
          <w:sz w:val="24"/>
          <w:szCs w:val="24"/>
        </w:rPr>
      </w:pPr>
      <w:r>
        <w:rPr>
          <w:rFonts w:ascii="Arial" w:hAnsi="Arial" w:cs="Arial"/>
          <w:sz w:val="24"/>
          <w:szCs w:val="24"/>
        </w:rPr>
        <w:t>Tal situação soa absurd</w:t>
      </w:r>
      <w:r w:rsidR="007463F3">
        <w:rPr>
          <w:rFonts w:ascii="Arial" w:hAnsi="Arial" w:cs="Arial"/>
          <w:sz w:val="24"/>
          <w:szCs w:val="24"/>
        </w:rPr>
        <w:t>a</w:t>
      </w:r>
      <w:r>
        <w:rPr>
          <w:rFonts w:ascii="Arial" w:hAnsi="Arial" w:cs="Arial"/>
          <w:sz w:val="24"/>
          <w:szCs w:val="24"/>
        </w:rPr>
        <w:t xml:space="preserve"> ao rememorar-se o Recurso Especial nº 99</w:t>
      </w:r>
      <w:r w:rsidR="00950341">
        <w:rPr>
          <w:rFonts w:ascii="Arial" w:hAnsi="Arial" w:cs="Arial"/>
          <w:sz w:val="24"/>
          <w:szCs w:val="24"/>
        </w:rPr>
        <w:t>2</w:t>
      </w:r>
      <w:r w:rsidR="00E71A68">
        <w:rPr>
          <w:rFonts w:ascii="Arial" w:hAnsi="Arial" w:cs="Arial"/>
          <w:sz w:val="24"/>
          <w:szCs w:val="24"/>
        </w:rPr>
        <w:t>.749/MS</w:t>
      </w:r>
      <w:r w:rsidR="00606102">
        <w:rPr>
          <w:rFonts w:ascii="Arial" w:hAnsi="Arial" w:cs="Arial"/>
          <w:sz w:val="24"/>
          <w:szCs w:val="24"/>
        </w:rPr>
        <w:t xml:space="preserve"> o</w:t>
      </w:r>
      <w:r>
        <w:rPr>
          <w:rFonts w:ascii="Arial" w:hAnsi="Arial" w:cs="Arial"/>
          <w:sz w:val="24"/>
          <w:szCs w:val="24"/>
        </w:rPr>
        <w:t xml:space="preserve">utrora analisado, </w:t>
      </w:r>
      <w:r w:rsidR="00E424A4">
        <w:rPr>
          <w:rFonts w:ascii="Arial" w:hAnsi="Arial" w:cs="Arial"/>
          <w:sz w:val="24"/>
          <w:szCs w:val="24"/>
        </w:rPr>
        <w:t>no qual</w:t>
      </w:r>
      <w:r>
        <w:rPr>
          <w:rFonts w:ascii="Arial" w:hAnsi="Arial" w:cs="Arial"/>
          <w:sz w:val="24"/>
          <w:szCs w:val="24"/>
        </w:rPr>
        <w:t xml:space="preserve"> a esposa do </w:t>
      </w:r>
      <w:r>
        <w:rPr>
          <w:rFonts w:ascii="Arial" w:hAnsi="Arial" w:cs="Arial"/>
          <w:i/>
          <w:sz w:val="24"/>
          <w:szCs w:val="24"/>
        </w:rPr>
        <w:t>de cujus</w:t>
      </w:r>
      <w:r>
        <w:rPr>
          <w:rFonts w:ascii="Arial" w:hAnsi="Arial" w:cs="Arial"/>
          <w:sz w:val="24"/>
          <w:szCs w:val="24"/>
        </w:rPr>
        <w:t xml:space="preserve">, casada sob o regime de separação convencional de bens há </w:t>
      </w:r>
      <w:r w:rsidR="002A2FCD">
        <w:rPr>
          <w:rFonts w:ascii="Arial" w:hAnsi="Arial" w:cs="Arial"/>
          <w:sz w:val="24"/>
          <w:szCs w:val="24"/>
        </w:rPr>
        <w:t>menos</w:t>
      </w:r>
      <w:r>
        <w:rPr>
          <w:rFonts w:ascii="Arial" w:hAnsi="Arial" w:cs="Arial"/>
          <w:sz w:val="24"/>
          <w:szCs w:val="24"/>
        </w:rPr>
        <w:t xml:space="preserve"> de um ano e trinta e um anos mais nova que ele, teria </w:t>
      </w:r>
      <w:r>
        <w:rPr>
          <w:rFonts w:ascii="Arial" w:hAnsi="Arial" w:cs="Arial"/>
          <w:sz w:val="24"/>
          <w:szCs w:val="24"/>
        </w:rPr>
        <w:lastRenderedPageBreak/>
        <w:t xml:space="preserve">tido direito à herança caso não houvesse a Ministra Nancy Andrighi adotado, irretocavelmente, a teoria </w:t>
      </w:r>
      <w:r w:rsidR="00580859">
        <w:rPr>
          <w:rFonts w:ascii="Arial" w:hAnsi="Arial" w:cs="Arial"/>
          <w:sz w:val="24"/>
          <w:szCs w:val="24"/>
        </w:rPr>
        <w:t>defendida por Miguel Reale</w:t>
      </w:r>
      <w:r w:rsidR="000E7773">
        <w:rPr>
          <w:rFonts w:ascii="Arial" w:hAnsi="Arial" w:cs="Arial"/>
          <w:sz w:val="24"/>
          <w:szCs w:val="24"/>
        </w:rPr>
        <w:t xml:space="preserve"> naquele caso.</w:t>
      </w:r>
    </w:p>
    <w:p w:rsidR="00197D24" w:rsidRDefault="000E7773"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Naquela hipótese, </w:t>
      </w:r>
      <w:r w:rsidR="000D15BE">
        <w:rPr>
          <w:rFonts w:ascii="Arial" w:hAnsi="Arial" w:cs="Arial"/>
          <w:sz w:val="24"/>
          <w:szCs w:val="24"/>
        </w:rPr>
        <w:t>atentando-se não só para a hiante disparidade de idade entre os nubentes, fato é que ecoaria injusto conceder à esposa direito de concorrência sobre a herança com os descendentes do falecido, uma vez que, em vida, renunciara à meação por meio da estipulação do regime da separação convencional de bens,</w:t>
      </w:r>
      <w:r w:rsidR="00750854">
        <w:rPr>
          <w:rFonts w:ascii="Arial" w:hAnsi="Arial" w:cs="Arial"/>
          <w:sz w:val="24"/>
          <w:szCs w:val="24"/>
        </w:rPr>
        <w:t xml:space="preserve"> e, ainda, permanecera</w:t>
      </w:r>
      <w:r w:rsidR="000D15BE">
        <w:rPr>
          <w:rFonts w:ascii="Arial" w:hAnsi="Arial" w:cs="Arial"/>
          <w:sz w:val="24"/>
          <w:szCs w:val="24"/>
        </w:rPr>
        <w:t xml:space="preserve"> casada por </w:t>
      </w:r>
      <w:r w:rsidR="002A2FCD">
        <w:rPr>
          <w:rFonts w:ascii="Arial" w:hAnsi="Arial" w:cs="Arial"/>
          <w:sz w:val="24"/>
          <w:szCs w:val="24"/>
        </w:rPr>
        <w:t>menos de</w:t>
      </w:r>
      <w:r w:rsidR="000D15BE">
        <w:rPr>
          <w:rFonts w:ascii="Arial" w:hAnsi="Arial" w:cs="Arial"/>
          <w:sz w:val="24"/>
          <w:szCs w:val="24"/>
        </w:rPr>
        <w:t xml:space="preserve"> um ano. </w:t>
      </w:r>
    </w:p>
    <w:p w:rsidR="00B62757" w:rsidRDefault="00F91B36" w:rsidP="000C0F87">
      <w:pPr>
        <w:autoSpaceDE w:val="0"/>
        <w:autoSpaceDN w:val="0"/>
        <w:adjustRightInd w:val="0"/>
        <w:ind w:firstLine="851"/>
        <w:jc w:val="both"/>
        <w:rPr>
          <w:rFonts w:ascii="Arial" w:hAnsi="Arial" w:cs="Arial"/>
          <w:sz w:val="24"/>
          <w:szCs w:val="24"/>
        </w:rPr>
      </w:pPr>
      <w:r>
        <w:rPr>
          <w:rFonts w:ascii="Arial" w:hAnsi="Arial" w:cs="Arial"/>
          <w:sz w:val="24"/>
          <w:szCs w:val="24"/>
        </w:rPr>
        <w:t>Perfeitamente imaginável que, naquele caso</w:t>
      </w:r>
      <w:r w:rsidR="00A167F9">
        <w:rPr>
          <w:rFonts w:ascii="Arial" w:hAnsi="Arial" w:cs="Arial"/>
          <w:sz w:val="24"/>
          <w:szCs w:val="24"/>
        </w:rPr>
        <w:t>,</w:t>
      </w:r>
      <w:r w:rsidR="00B62757">
        <w:rPr>
          <w:rFonts w:ascii="Arial" w:hAnsi="Arial" w:cs="Arial"/>
          <w:sz w:val="24"/>
          <w:szCs w:val="24"/>
        </w:rPr>
        <w:t xml:space="preserve"> o cônjuge tenha optado pelo regime da separação convencional de bens justamente pela segurança de indissociabilidade de bens que ele pressupõe, mormente</w:t>
      </w:r>
      <w:r w:rsidR="005B7A75">
        <w:rPr>
          <w:rFonts w:ascii="Arial" w:hAnsi="Arial" w:cs="Arial"/>
          <w:sz w:val="24"/>
          <w:szCs w:val="24"/>
        </w:rPr>
        <w:t xml:space="preserve"> pelo seu grave estado de saúde e pela disparidade de</w:t>
      </w:r>
      <w:r w:rsidR="00FF643E">
        <w:rPr>
          <w:rFonts w:ascii="Arial" w:hAnsi="Arial" w:cs="Arial"/>
          <w:sz w:val="24"/>
          <w:szCs w:val="24"/>
        </w:rPr>
        <w:t xml:space="preserve"> idade existente entre o casal –</w:t>
      </w:r>
      <w:r w:rsidR="002855DD">
        <w:rPr>
          <w:rFonts w:ascii="Arial" w:hAnsi="Arial" w:cs="Arial"/>
          <w:sz w:val="24"/>
          <w:szCs w:val="24"/>
        </w:rPr>
        <w:t xml:space="preserve"> caso em que é </w:t>
      </w:r>
      <w:r w:rsidR="00EE6D67">
        <w:rPr>
          <w:rFonts w:ascii="Arial" w:hAnsi="Arial" w:cs="Arial"/>
          <w:sz w:val="24"/>
          <w:szCs w:val="24"/>
        </w:rPr>
        <w:t xml:space="preserve">muito </w:t>
      </w:r>
      <w:r w:rsidR="002855DD">
        <w:rPr>
          <w:rFonts w:ascii="Arial" w:hAnsi="Arial" w:cs="Arial"/>
          <w:sz w:val="24"/>
          <w:szCs w:val="24"/>
        </w:rPr>
        <w:t xml:space="preserve">comum </w:t>
      </w:r>
      <w:r w:rsidR="00EE6D67">
        <w:rPr>
          <w:rFonts w:ascii="Arial" w:hAnsi="Arial" w:cs="Arial"/>
          <w:sz w:val="24"/>
          <w:szCs w:val="24"/>
        </w:rPr>
        <w:t>a</w:t>
      </w:r>
      <w:r w:rsidR="00C30CFB">
        <w:rPr>
          <w:rFonts w:ascii="Arial" w:hAnsi="Arial" w:cs="Arial"/>
          <w:sz w:val="24"/>
          <w:szCs w:val="24"/>
        </w:rPr>
        <w:t xml:space="preserve"> busca material na</w:t>
      </w:r>
      <w:r w:rsidR="00EE6D67">
        <w:rPr>
          <w:rFonts w:ascii="Arial" w:hAnsi="Arial" w:cs="Arial"/>
          <w:sz w:val="24"/>
          <w:szCs w:val="24"/>
        </w:rPr>
        <w:t xml:space="preserve"> celebração do casamento</w:t>
      </w:r>
      <w:r w:rsidR="00A211B8">
        <w:rPr>
          <w:rStyle w:val="Refdenotaderodap"/>
          <w:rFonts w:ascii="Arial" w:hAnsi="Arial" w:cs="Arial"/>
          <w:sz w:val="24"/>
          <w:szCs w:val="24"/>
        </w:rPr>
        <w:footnoteReference w:id="107"/>
      </w:r>
      <w:r w:rsidR="00EE6D67">
        <w:rPr>
          <w:rFonts w:ascii="Arial" w:hAnsi="Arial" w:cs="Arial"/>
          <w:sz w:val="24"/>
          <w:szCs w:val="24"/>
        </w:rPr>
        <w:t>.</w:t>
      </w:r>
    </w:p>
    <w:p w:rsidR="00C30CFB" w:rsidRDefault="00C30CFB" w:rsidP="000C0F87">
      <w:pPr>
        <w:autoSpaceDE w:val="0"/>
        <w:autoSpaceDN w:val="0"/>
        <w:adjustRightInd w:val="0"/>
        <w:ind w:firstLine="851"/>
        <w:jc w:val="both"/>
        <w:rPr>
          <w:rFonts w:ascii="Arial" w:hAnsi="Arial" w:cs="Arial"/>
          <w:sz w:val="24"/>
          <w:szCs w:val="24"/>
        </w:rPr>
      </w:pPr>
      <w:r>
        <w:rPr>
          <w:rFonts w:ascii="Arial" w:hAnsi="Arial" w:cs="Arial"/>
          <w:sz w:val="24"/>
          <w:szCs w:val="24"/>
        </w:rPr>
        <w:t>Sob a ótica oposta, nos casos em que um consorte possui significativo patrimônio em relação ao outro, a separação convencional de bens também se revela uma opção para aqueles que desejam demonstrar que a união se radica, exclusivamente, no afeto, nada se relacion</w:t>
      </w:r>
      <w:r w:rsidR="00F67C00">
        <w:rPr>
          <w:rFonts w:ascii="Arial" w:hAnsi="Arial" w:cs="Arial"/>
          <w:sz w:val="24"/>
          <w:szCs w:val="24"/>
        </w:rPr>
        <w:t xml:space="preserve">ando com interesses financeiros. </w:t>
      </w:r>
    </w:p>
    <w:p w:rsidR="005F3C64" w:rsidRDefault="005F3C64" w:rsidP="000C0F87">
      <w:pPr>
        <w:autoSpaceDE w:val="0"/>
        <w:autoSpaceDN w:val="0"/>
        <w:adjustRightInd w:val="0"/>
        <w:ind w:firstLine="851"/>
        <w:jc w:val="both"/>
        <w:rPr>
          <w:rFonts w:ascii="Arial" w:hAnsi="Arial" w:cs="Arial"/>
          <w:sz w:val="24"/>
          <w:szCs w:val="24"/>
        </w:rPr>
      </w:pPr>
      <w:r>
        <w:rPr>
          <w:rFonts w:ascii="Arial" w:hAnsi="Arial" w:cs="Arial"/>
          <w:sz w:val="24"/>
          <w:szCs w:val="24"/>
        </w:rPr>
        <w:t>Nas duas hipóteses, portanto, conferir ao cônjuge sobrevivente parcela da herança deixada pelo falecido seria não só afrontar a vontade dos nubentes, como também aniquilar as razões</w:t>
      </w:r>
      <w:r w:rsidR="006C0C44">
        <w:rPr>
          <w:rFonts w:ascii="Arial" w:hAnsi="Arial" w:cs="Arial"/>
          <w:sz w:val="24"/>
          <w:szCs w:val="24"/>
        </w:rPr>
        <w:t>,</w:t>
      </w:r>
      <w:r w:rsidR="009A12FA">
        <w:rPr>
          <w:rFonts w:ascii="Arial" w:hAnsi="Arial" w:cs="Arial"/>
          <w:sz w:val="24"/>
          <w:szCs w:val="24"/>
        </w:rPr>
        <w:t xml:space="preserve"> e, </w:t>
      </w:r>
      <w:r>
        <w:rPr>
          <w:rFonts w:ascii="Arial" w:hAnsi="Arial" w:cs="Arial"/>
          <w:sz w:val="24"/>
          <w:szCs w:val="24"/>
        </w:rPr>
        <w:t xml:space="preserve">quiçá, </w:t>
      </w:r>
      <w:r w:rsidR="009A12FA">
        <w:rPr>
          <w:rFonts w:ascii="Arial" w:hAnsi="Arial" w:cs="Arial"/>
          <w:sz w:val="24"/>
          <w:szCs w:val="24"/>
        </w:rPr>
        <w:t xml:space="preserve">as </w:t>
      </w:r>
      <w:r>
        <w:rPr>
          <w:rFonts w:ascii="Arial" w:hAnsi="Arial" w:cs="Arial"/>
          <w:sz w:val="24"/>
          <w:szCs w:val="24"/>
        </w:rPr>
        <w:t>condições, da celebração do matrimônio.</w:t>
      </w:r>
    </w:p>
    <w:p w:rsidR="00750854" w:rsidRDefault="002A2FCD"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Lado outro, não se pode olvidar da </w:t>
      </w:r>
      <w:r w:rsidR="003A2A40">
        <w:rPr>
          <w:rFonts w:ascii="Arial" w:hAnsi="Arial" w:cs="Arial"/>
          <w:sz w:val="24"/>
          <w:szCs w:val="24"/>
        </w:rPr>
        <w:t>possibilidade</w:t>
      </w:r>
      <w:r>
        <w:rPr>
          <w:rFonts w:ascii="Arial" w:hAnsi="Arial" w:cs="Arial"/>
          <w:sz w:val="24"/>
          <w:szCs w:val="24"/>
        </w:rPr>
        <w:t xml:space="preserve"> de que o casal </w:t>
      </w:r>
      <w:r w:rsidR="00D65107">
        <w:rPr>
          <w:rFonts w:ascii="Arial" w:hAnsi="Arial" w:cs="Arial"/>
          <w:sz w:val="24"/>
          <w:szCs w:val="24"/>
        </w:rPr>
        <w:t>tenha optado pelo regime da separação de bens apenas em razão da facilidade de administração que a modalidade oferece em caso de eventual div</w:t>
      </w:r>
      <w:r w:rsidR="00B62757">
        <w:rPr>
          <w:rFonts w:ascii="Arial" w:hAnsi="Arial" w:cs="Arial"/>
          <w:sz w:val="24"/>
          <w:szCs w:val="24"/>
        </w:rPr>
        <w:t xml:space="preserve">órcio, nada se relacionando, talvez, com </w:t>
      </w:r>
      <w:r w:rsidR="00625CBF">
        <w:rPr>
          <w:rFonts w:ascii="Arial" w:hAnsi="Arial" w:cs="Arial"/>
          <w:sz w:val="24"/>
          <w:szCs w:val="24"/>
        </w:rPr>
        <w:t xml:space="preserve">um absoluto receio em deixar bens ao cônjuge após a morte. </w:t>
      </w:r>
      <w:r w:rsidR="00B62757">
        <w:rPr>
          <w:rFonts w:ascii="Arial" w:hAnsi="Arial" w:cs="Arial"/>
          <w:sz w:val="24"/>
          <w:szCs w:val="24"/>
        </w:rPr>
        <w:t xml:space="preserve"> </w:t>
      </w:r>
      <w:r w:rsidR="00D65107">
        <w:rPr>
          <w:rFonts w:ascii="Arial" w:hAnsi="Arial" w:cs="Arial"/>
          <w:sz w:val="24"/>
          <w:szCs w:val="24"/>
        </w:rPr>
        <w:t xml:space="preserve"> </w:t>
      </w:r>
    </w:p>
    <w:p w:rsidR="004145F7" w:rsidRDefault="0026346E"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Destarte, </w:t>
      </w:r>
      <w:r w:rsidR="00F363D5">
        <w:rPr>
          <w:rFonts w:ascii="Arial" w:hAnsi="Arial" w:cs="Arial"/>
          <w:sz w:val="24"/>
          <w:szCs w:val="24"/>
        </w:rPr>
        <w:t>diante do erro material existente na remissão entre parênteses realizada no dispositivo em comento, bem como da hiante incongruência, em aspectos práticos, da concessão do direito sobre à herança do cônjuge falecido que, em vida, declarou a vontade de não dividir seus bens</w:t>
      </w:r>
      <w:r w:rsidR="006B3D76">
        <w:rPr>
          <w:rStyle w:val="Refdenotaderodap"/>
          <w:rFonts w:ascii="Arial" w:hAnsi="Arial" w:cs="Arial"/>
          <w:sz w:val="24"/>
          <w:szCs w:val="24"/>
        </w:rPr>
        <w:footnoteReference w:id="108"/>
      </w:r>
      <w:r w:rsidR="00F363D5">
        <w:rPr>
          <w:rFonts w:ascii="Arial" w:hAnsi="Arial" w:cs="Arial"/>
          <w:sz w:val="24"/>
          <w:szCs w:val="24"/>
        </w:rPr>
        <w:t xml:space="preserve">, </w:t>
      </w:r>
      <w:r w:rsidR="00A167F9">
        <w:rPr>
          <w:rFonts w:ascii="Arial" w:hAnsi="Arial" w:cs="Arial"/>
          <w:sz w:val="24"/>
          <w:szCs w:val="24"/>
        </w:rPr>
        <w:t>surge a proposta de</w:t>
      </w:r>
      <w:r>
        <w:rPr>
          <w:rFonts w:ascii="Arial" w:hAnsi="Arial" w:cs="Arial"/>
          <w:sz w:val="24"/>
          <w:szCs w:val="24"/>
        </w:rPr>
        <w:t xml:space="preserve"> alteração legislativa, a fim de </w:t>
      </w:r>
      <w:r w:rsidR="004145F7">
        <w:rPr>
          <w:rFonts w:ascii="Arial" w:hAnsi="Arial" w:cs="Arial"/>
          <w:sz w:val="24"/>
          <w:szCs w:val="24"/>
        </w:rPr>
        <w:t>corrigir a redação da norma.</w:t>
      </w:r>
    </w:p>
    <w:p w:rsidR="00FE634A" w:rsidRDefault="00FE634A" w:rsidP="000C0F87">
      <w:pPr>
        <w:autoSpaceDE w:val="0"/>
        <w:autoSpaceDN w:val="0"/>
        <w:adjustRightInd w:val="0"/>
        <w:ind w:firstLine="851"/>
        <w:jc w:val="both"/>
        <w:rPr>
          <w:rFonts w:ascii="Arial" w:hAnsi="Arial" w:cs="Arial"/>
          <w:sz w:val="24"/>
          <w:szCs w:val="24"/>
        </w:rPr>
      </w:pPr>
      <w:r>
        <w:rPr>
          <w:rFonts w:ascii="Arial" w:hAnsi="Arial" w:cs="Arial"/>
          <w:sz w:val="24"/>
          <w:szCs w:val="24"/>
        </w:rPr>
        <w:lastRenderedPageBreak/>
        <w:t>Maria Berenice Dias sustenta que a redação do artigo 1.829, inciso I, do Código Civil, padece de inconstitucionalidade, uma vez que, conforme adiantado, viola o princípio da liberdade em relação à disposição do patrimônio</w:t>
      </w:r>
      <w:r>
        <w:rPr>
          <w:rStyle w:val="Refdenotaderodap"/>
          <w:rFonts w:ascii="Arial" w:hAnsi="Arial" w:cs="Arial"/>
          <w:sz w:val="24"/>
          <w:szCs w:val="24"/>
        </w:rPr>
        <w:footnoteReference w:id="109"/>
      </w:r>
      <w:r>
        <w:rPr>
          <w:rFonts w:ascii="Arial" w:hAnsi="Arial" w:cs="Arial"/>
          <w:sz w:val="24"/>
          <w:szCs w:val="24"/>
        </w:rPr>
        <w:t xml:space="preserve">. </w:t>
      </w:r>
    </w:p>
    <w:p w:rsidR="0026346E" w:rsidRDefault="0026346E" w:rsidP="000C0F87">
      <w:pPr>
        <w:autoSpaceDE w:val="0"/>
        <w:autoSpaceDN w:val="0"/>
        <w:adjustRightInd w:val="0"/>
        <w:ind w:firstLine="851"/>
        <w:jc w:val="both"/>
        <w:rPr>
          <w:rFonts w:ascii="Arial" w:hAnsi="Arial" w:cs="Arial"/>
          <w:sz w:val="24"/>
          <w:szCs w:val="24"/>
        </w:rPr>
      </w:pPr>
      <w:r>
        <w:rPr>
          <w:rFonts w:ascii="Arial" w:hAnsi="Arial" w:cs="Arial"/>
          <w:sz w:val="24"/>
          <w:szCs w:val="24"/>
        </w:rPr>
        <w:t>Sobre o assunto, Silvio Venosa reconhece a incongruência existente no sistema sucessório do cônjuge</w:t>
      </w:r>
      <w:r w:rsidR="004145F7">
        <w:rPr>
          <w:rFonts w:ascii="Arial" w:hAnsi="Arial" w:cs="Arial"/>
          <w:sz w:val="24"/>
          <w:szCs w:val="24"/>
        </w:rPr>
        <w:t>,</w:t>
      </w:r>
      <w:r>
        <w:rPr>
          <w:rFonts w:ascii="Arial" w:hAnsi="Arial" w:cs="Arial"/>
          <w:sz w:val="24"/>
          <w:szCs w:val="24"/>
        </w:rPr>
        <w:t xml:space="preserve"> assim pontuando:</w:t>
      </w:r>
    </w:p>
    <w:p w:rsidR="0026346E" w:rsidRPr="0026346E" w:rsidRDefault="0026346E" w:rsidP="0026346E">
      <w:pPr>
        <w:autoSpaceDE w:val="0"/>
        <w:autoSpaceDN w:val="0"/>
        <w:adjustRightInd w:val="0"/>
        <w:spacing w:line="240" w:lineRule="auto"/>
        <w:ind w:left="2268"/>
        <w:jc w:val="both"/>
        <w:rPr>
          <w:rFonts w:ascii="Arial" w:hAnsi="Arial" w:cs="Arial"/>
          <w:sz w:val="20"/>
          <w:szCs w:val="20"/>
        </w:rPr>
      </w:pPr>
    </w:p>
    <w:p w:rsidR="00384C18" w:rsidRDefault="0026346E" w:rsidP="00FE634A">
      <w:pPr>
        <w:autoSpaceDE w:val="0"/>
        <w:autoSpaceDN w:val="0"/>
        <w:adjustRightInd w:val="0"/>
        <w:spacing w:line="240" w:lineRule="auto"/>
        <w:ind w:left="2268"/>
        <w:jc w:val="both"/>
        <w:rPr>
          <w:rFonts w:ascii="Arial" w:hAnsi="Arial" w:cs="Arial"/>
          <w:sz w:val="24"/>
          <w:szCs w:val="24"/>
        </w:rPr>
      </w:pPr>
      <w:r>
        <w:rPr>
          <w:rFonts w:ascii="Arial" w:hAnsi="Arial" w:cs="Arial"/>
          <w:iCs/>
          <w:sz w:val="20"/>
          <w:szCs w:val="20"/>
        </w:rPr>
        <w:t>E</w:t>
      </w:r>
      <w:r w:rsidR="00D17F18" w:rsidRPr="0026346E">
        <w:rPr>
          <w:rFonts w:ascii="Arial" w:hAnsi="Arial" w:cs="Arial"/>
          <w:iCs/>
          <w:sz w:val="20"/>
          <w:szCs w:val="20"/>
        </w:rPr>
        <w:t>ste Código Civil de 2002 representa</w:t>
      </w:r>
      <w:r w:rsidRPr="0026346E">
        <w:rPr>
          <w:rFonts w:ascii="Arial" w:hAnsi="Arial" w:cs="Arial"/>
          <w:iCs/>
          <w:sz w:val="20"/>
          <w:szCs w:val="20"/>
        </w:rPr>
        <w:t xml:space="preserve"> </w:t>
      </w:r>
      <w:r w:rsidR="00D17F18" w:rsidRPr="0026346E">
        <w:rPr>
          <w:rFonts w:ascii="Arial" w:hAnsi="Arial" w:cs="Arial"/>
          <w:iCs/>
          <w:sz w:val="20"/>
          <w:szCs w:val="20"/>
        </w:rPr>
        <w:t>uma tragédia jurídica, um desprestígio e um despreparo do nosso meio jurídico e de</w:t>
      </w:r>
      <w:r>
        <w:rPr>
          <w:rFonts w:ascii="Arial" w:hAnsi="Arial" w:cs="Arial"/>
          <w:iCs/>
          <w:sz w:val="20"/>
          <w:szCs w:val="20"/>
        </w:rPr>
        <w:t xml:space="preserve"> </w:t>
      </w:r>
      <w:r w:rsidR="00D17F18" w:rsidRPr="0026346E">
        <w:rPr>
          <w:rFonts w:ascii="Arial" w:hAnsi="Arial" w:cs="Arial"/>
          <w:iCs/>
          <w:sz w:val="20"/>
          <w:szCs w:val="20"/>
        </w:rPr>
        <w:t>nossos legisladores, tamanhas as impropriedades dos textos que afluem para</w:t>
      </w:r>
      <w:r>
        <w:rPr>
          <w:rFonts w:ascii="Arial" w:hAnsi="Arial" w:cs="Arial"/>
          <w:iCs/>
          <w:sz w:val="20"/>
          <w:szCs w:val="20"/>
        </w:rPr>
        <w:t xml:space="preserve"> </w:t>
      </w:r>
      <w:r w:rsidR="00D17F18" w:rsidRPr="0026346E">
        <w:rPr>
          <w:rFonts w:ascii="Arial" w:hAnsi="Arial" w:cs="Arial"/>
          <w:iCs/>
          <w:sz w:val="20"/>
          <w:szCs w:val="20"/>
        </w:rPr>
        <w:t xml:space="preserve">perplexidades interpretativas </w:t>
      </w:r>
      <w:r w:rsidR="00D17F18" w:rsidRPr="0026346E">
        <w:rPr>
          <w:rFonts w:ascii="Arial" w:hAnsi="Arial" w:cs="Arial"/>
          <w:sz w:val="20"/>
          <w:szCs w:val="20"/>
        </w:rPr>
        <w:t xml:space="preserve">e acrescenta </w:t>
      </w:r>
      <w:r w:rsidR="00D17F18" w:rsidRPr="0026346E">
        <w:rPr>
          <w:rFonts w:ascii="Arial" w:hAnsi="Arial" w:cs="Arial"/>
          <w:iCs/>
          <w:sz w:val="20"/>
          <w:szCs w:val="20"/>
        </w:rPr>
        <w:t>que melhor será que seja reescrito e que se</w:t>
      </w:r>
      <w:r w:rsidRPr="0026346E">
        <w:rPr>
          <w:rFonts w:ascii="Arial" w:hAnsi="Arial" w:cs="Arial"/>
          <w:iCs/>
          <w:sz w:val="20"/>
          <w:szCs w:val="20"/>
        </w:rPr>
        <w:t xml:space="preserve"> </w:t>
      </w:r>
      <w:r w:rsidR="00D17F18" w:rsidRPr="0026346E">
        <w:rPr>
          <w:rFonts w:ascii="Arial" w:hAnsi="Arial" w:cs="Arial"/>
          <w:iCs/>
          <w:sz w:val="20"/>
          <w:szCs w:val="20"/>
        </w:rPr>
        <w:t>apague o que foi feito, como uma mancha na cultura jurídica nacional</w:t>
      </w:r>
      <w:r w:rsidR="00D17F18" w:rsidRPr="0026346E">
        <w:rPr>
          <w:rFonts w:ascii="Arial" w:hAnsi="Arial" w:cs="Arial"/>
          <w:sz w:val="20"/>
          <w:szCs w:val="20"/>
        </w:rPr>
        <w:t xml:space="preserve">. Ressalta que </w:t>
      </w:r>
      <w:r w:rsidR="00D17F18" w:rsidRPr="0026346E">
        <w:rPr>
          <w:rFonts w:ascii="Arial" w:hAnsi="Arial" w:cs="Arial"/>
          <w:iCs/>
          <w:sz w:val="20"/>
          <w:szCs w:val="20"/>
        </w:rPr>
        <w:t>o mal</w:t>
      </w:r>
      <w:r w:rsidRPr="0026346E">
        <w:rPr>
          <w:rFonts w:ascii="Arial" w:hAnsi="Arial" w:cs="Arial"/>
          <w:iCs/>
          <w:sz w:val="20"/>
          <w:szCs w:val="20"/>
        </w:rPr>
        <w:t xml:space="preserve"> </w:t>
      </w:r>
      <w:r w:rsidR="00D17F18" w:rsidRPr="0026346E">
        <w:rPr>
          <w:rFonts w:ascii="Arial" w:hAnsi="Arial" w:cs="Arial"/>
          <w:iCs/>
          <w:sz w:val="20"/>
          <w:szCs w:val="20"/>
        </w:rPr>
        <w:t>está feito e a lei está vigente</w:t>
      </w:r>
      <w:r w:rsidR="00D17F18" w:rsidRPr="0026346E">
        <w:rPr>
          <w:rFonts w:ascii="Arial" w:hAnsi="Arial" w:cs="Arial"/>
          <w:sz w:val="20"/>
          <w:szCs w:val="20"/>
        </w:rPr>
        <w:t xml:space="preserve">, recomendando que </w:t>
      </w:r>
      <w:r w:rsidR="00D17F18" w:rsidRPr="0026346E">
        <w:rPr>
          <w:rFonts w:ascii="Arial" w:hAnsi="Arial" w:cs="Arial"/>
          <w:iCs/>
          <w:sz w:val="20"/>
          <w:szCs w:val="20"/>
        </w:rPr>
        <w:t>ela seja aplicada da forma mais</w:t>
      </w:r>
      <w:r w:rsidRPr="0026346E">
        <w:rPr>
          <w:rFonts w:ascii="Arial" w:hAnsi="Arial" w:cs="Arial"/>
          <w:iCs/>
          <w:sz w:val="20"/>
          <w:szCs w:val="20"/>
        </w:rPr>
        <w:t xml:space="preserve"> </w:t>
      </w:r>
      <w:r w:rsidR="00D17F18" w:rsidRPr="0026346E">
        <w:rPr>
          <w:rFonts w:ascii="Arial" w:hAnsi="Arial" w:cs="Arial"/>
          <w:iCs/>
          <w:sz w:val="20"/>
          <w:szCs w:val="20"/>
        </w:rPr>
        <w:t xml:space="preserve">socialmente aceitável </w:t>
      </w:r>
      <w:r w:rsidR="00D17F18" w:rsidRPr="0026346E">
        <w:rPr>
          <w:rFonts w:ascii="Arial" w:hAnsi="Arial" w:cs="Arial"/>
          <w:sz w:val="20"/>
          <w:szCs w:val="20"/>
        </w:rPr>
        <w:t>e adverte que injustiças e insegurança sociais serão inevitáveis</w:t>
      </w:r>
      <w:r>
        <w:rPr>
          <w:rStyle w:val="Refdenotaderodap"/>
          <w:rFonts w:ascii="Arial" w:hAnsi="Arial" w:cs="Arial"/>
          <w:sz w:val="20"/>
          <w:szCs w:val="20"/>
        </w:rPr>
        <w:footnoteReference w:id="110"/>
      </w:r>
      <w:r>
        <w:rPr>
          <w:rFonts w:ascii="Arial" w:hAnsi="Arial" w:cs="Arial"/>
          <w:sz w:val="20"/>
          <w:szCs w:val="20"/>
        </w:rPr>
        <w:t>.</w:t>
      </w:r>
      <w:r>
        <w:rPr>
          <w:rFonts w:ascii="Arial" w:hAnsi="Arial" w:cs="Arial"/>
          <w:sz w:val="24"/>
          <w:szCs w:val="24"/>
        </w:rPr>
        <w:t xml:space="preserve"> </w:t>
      </w:r>
    </w:p>
    <w:p w:rsidR="00384C18" w:rsidRDefault="00384C18" w:rsidP="00050284">
      <w:pPr>
        <w:autoSpaceDE w:val="0"/>
        <w:autoSpaceDN w:val="0"/>
        <w:adjustRightInd w:val="0"/>
        <w:ind w:firstLine="709"/>
        <w:jc w:val="both"/>
        <w:rPr>
          <w:rFonts w:ascii="Arial" w:hAnsi="Arial" w:cs="Arial"/>
          <w:sz w:val="24"/>
          <w:szCs w:val="24"/>
        </w:rPr>
      </w:pPr>
    </w:p>
    <w:p w:rsidR="00C915C9" w:rsidRPr="00523D71" w:rsidRDefault="00C915C9" w:rsidP="000C0F87">
      <w:pPr>
        <w:autoSpaceDE w:val="0"/>
        <w:autoSpaceDN w:val="0"/>
        <w:adjustRightInd w:val="0"/>
        <w:ind w:firstLine="851"/>
        <w:jc w:val="both"/>
        <w:rPr>
          <w:rFonts w:ascii="Arial" w:hAnsi="Arial" w:cs="Arial"/>
          <w:iCs/>
          <w:sz w:val="24"/>
          <w:szCs w:val="24"/>
        </w:rPr>
      </w:pPr>
      <w:r>
        <w:rPr>
          <w:rFonts w:ascii="Arial" w:hAnsi="Arial" w:cs="Arial"/>
          <w:sz w:val="24"/>
          <w:szCs w:val="24"/>
        </w:rPr>
        <w:t xml:space="preserve">O </w:t>
      </w:r>
      <w:r w:rsidRPr="00C915C9">
        <w:rPr>
          <w:rFonts w:ascii="Arial" w:hAnsi="Arial" w:cs="Arial"/>
          <w:sz w:val="24"/>
          <w:szCs w:val="24"/>
        </w:rPr>
        <w:t xml:space="preserve">casal Nery partilha desse entendimento, sugerindo que o artigo 1.829, inciso I, seja reformado no sentido de excluir </w:t>
      </w:r>
      <w:r w:rsidRPr="00071118">
        <w:rPr>
          <w:rFonts w:ascii="Arial" w:hAnsi="Arial" w:cs="Arial"/>
          <w:iCs/>
          <w:sz w:val="24"/>
          <w:szCs w:val="24"/>
        </w:rPr>
        <w:t>a expressão “obri</w:t>
      </w:r>
      <w:r w:rsidR="00AE0368">
        <w:rPr>
          <w:rFonts w:ascii="Arial" w:hAnsi="Arial" w:cs="Arial"/>
          <w:iCs/>
          <w:sz w:val="24"/>
          <w:szCs w:val="24"/>
        </w:rPr>
        <w:t xml:space="preserve">gatória”, bem como a </w:t>
      </w:r>
      <w:r w:rsidRPr="00071118">
        <w:rPr>
          <w:rFonts w:ascii="Arial" w:hAnsi="Arial" w:cs="Arial"/>
          <w:iCs/>
          <w:sz w:val="24"/>
          <w:szCs w:val="24"/>
        </w:rPr>
        <w:t>remis</w:t>
      </w:r>
      <w:r w:rsidR="00071118">
        <w:rPr>
          <w:rFonts w:ascii="Arial" w:hAnsi="Arial" w:cs="Arial"/>
          <w:iCs/>
          <w:sz w:val="24"/>
          <w:szCs w:val="24"/>
        </w:rPr>
        <w:t xml:space="preserve">são equivocada ao </w:t>
      </w:r>
      <w:r w:rsidR="005D7D1D">
        <w:rPr>
          <w:rFonts w:ascii="Arial" w:hAnsi="Arial" w:cs="Arial"/>
          <w:iCs/>
          <w:sz w:val="24"/>
          <w:szCs w:val="24"/>
        </w:rPr>
        <w:t xml:space="preserve">artigo </w:t>
      </w:r>
      <w:r w:rsidR="00071118">
        <w:rPr>
          <w:rFonts w:ascii="Arial" w:hAnsi="Arial" w:cs="Arial"/>
          <w:iCs/>
          <w:sz w:val="24"/>
          <w:szCs w:val="24"/>
        </w:rPr>
        <w:t>1</w:t>
      </w:r>
      <w:r w:rsidR="005D7D1D">
        <w:rPr>
          <w:rFonts w:ascii="Arial" w:hAnsi="Arial" w:cs="Arial"/>
          <w:iCs/>
          <w:sz w:val="24"/>
          <w:szCs w:val="24"/>
        </w:rPr>
        <w:t>.</w:t>
      </w:r>
      <w:r w:rsidR="00071118">
        <w:rPr>
          <w:rFonts w:ascii="Arial" w:hAnsi="Arial" w:cs="Arial"/>
          <w:iCs/>
          <w:sz w:val="24"/>
          <w:szCs w:val="24"/>
        </w:rPr>
        <w:t>640</w:t>
      </w:r>
      <w:r w:rsidR="005D7D1D">
        <w:rPr>
          <w:rFonts w:ascii="Arial" w:hAnsi="Arial" w:cs="Arial"/>
          <w:iCs/>
          <w:sz w:val="24"/>
          <w:szCs w:val="24"/>
        </w:rPr>
        <w:t>,</w:t>
      </w:r>
      <w:r w:rsidR="00071118">
        <w:rPr>
          <w:rFonts w:ascii="Arial" w:hAnsi="Arial" w:cs="Arial"/>
          <w:iCs/>
          <w:sz w:val="24"/>
          <w:szCs w:val="24"/>
        </w:rPr>
        <w:t xml:space="preserve"> parágrafo único</w:t>
      </w:r>
      <w:r w:rsidRPr="00071118">
        <w:rPr>
          <w:rFonts w:ascii="Arial" w:hAnsi="Arial" w:cs="Arial"/>
          <w:iCs/>
          <w:sz w:val="24"/>
          <w:szCs w:val="24"/>
        </w:rPr>
        <w:t xml:space="preserve">. </w:t>
      </w:r>
      <w:r w:rsidR="00071118">
        <w:rPr>
          <w:rFonts w:ascii="Arial" w:hAnsi="Arial" w:cs="Arial"/>
          <w:iCs/>
          <w:sz w:val="24"/>
          <w:szCs w:val="24"/>
        </w:rPr>
        <w:t>Alega que, com isso</w:t>
      </w:r>
      <w:r w:rsidR="00071118" w:rsidRPr="00523D71">
        <w:rPr>
          <w:rFonts w:ascii="Arial" w:hAnsi="Arial" w:cs="Arial"/>
          <w:iCs/>
          <w:sz w:val="24"/>
          <w:szCs w:val="24"/>
        </w:rPr>
        <w:t xml:space="preserve">, </w:t>
      </w:r>
      <w:r w:rsidR="00A167F9" w:rsidRPr="00523D71">
        <w:rPr>
          <w:rFonts w:ascii="Arial" w:hAnsi="Arial" w:cs="Arial"/>
          <w:iCs/>
          <w:sz w:val="24"/>
          <w:szCs w:val="24"/>
        </w:rPr>
        <w:t>“</w:t>
      </w:r>
      <w:r w:rsidRPr="00523D71">
        <w:rPr>
          <w:rFonts w:ascii="Arial" w:hAnsi="Arial" w:cs="Arial"/>
          <w:iCs/>
          <w:sz w:val="24"/>
          <w:szCs w:val="24"/>
        </w:rPr>
        <w:t>não concorreria com o herdeiro descendente do morto o casado sob o regime da separação de bens, em qualquer de suas modalidades (separação obrigatória e separação convencional)</w:t>
      </w:r>
      <w:r w:rsidR="00071118" w:rsidRPr="00523D71">
        <w:rPr>
          <w:rFonts w:ascii="Arial" w:hAnsi="Arial" w:cs="Arial"/>
          <w:iCs/>
          <w:sz w:val="24"/>
          <w:szCs w:val="24"/>
        </w:rPr>
        <w:t>”</w:t>
      </w:r>
      <w:r w:rsidR="00071118" w:rsidRPr="00523D71">
        <w:rPr>
          <w:rStyle w:val="Refdenotaderodap"/>
          <w:rFonts w:ascii="Arial" w:hAnsi="Arial" w:cs="Arial"/>
          <w:iCs/>
          <w:sz w:val="24"/>
          <w:szCs w:val="24"/>
        </w:rPr>
        <w:footnoteReference w:id="111"/>
      </w:r>
      <w:r w:rsidR="00071118" w:rsidRPr="00523D71">
        <w:rPr>
          <w:rFonts w:ascii="Arial" w:hAnsi="Arial" w:cs="Arial"/>
          <w:iCs/>
          <w:sz w:val="24"/>
          <w:szCs w:val="24"/>
        </w:rPr>
        <w:t>.</w:t>
      </w:r>
    </w:p>
    <w:p w:rsidR="003746A6" w:rsidRDefault="004444A7"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Mauro Antonini </w:t>
      </w:r>
      <w:r w:rsidR="00C915C9">
        <w:rPr>
          <w:rFonts w:ascii="Arial" w:hAnsi="Arial" w:cs="Arial"/>
          <w:sz w:val="24"/>
          <w:szCs w:val="24"/>
        </w:rPr>
        <w:t xml:space="preserve">também </w:t>
      </w:r>
      <w:r>
        <w:rPr>
          <w:rFonts w:ascii="Arial" w:hAnsi="Arial" w:cs="Arial"/>
          <w:sz w:val="24"/>
          <w:szCs w:val="24"/>
        </w:rPr>
        <w:t>concorda com a sugestão de Miguel Reale no sentido de suprimir a expressão “obrigatória” e considerar, por conseguinte, ambas as hipóteses de separação de bens como exceções à regra geral do cônjuge como herdeiro necess</w:t>
      </w:r>
      <w:r w:rsidR="00BB72CA">
        <w:rPr>
          <w:rFonts w:ascii="Arial" w:hAnsi="Arial" w:cs="Arial"/>
          <w:sz w:val="24"/>
          <w:szCs w:val="24"/>
        </w:rPr>
        <w:t>ário</w:t>
      </w:r>
      <w:r w:rsidR="003B4DA4">
        <w:rPr>
          <w:rFonts w:ascii="Arial" w:hAnsi="Arial" w:cs="Arial"/>
          <w:sz w:val="24"/>
          <w:szCs w:val="24"/>
        </w:rPr>
        <w:t xml:space="preserve"> (</w:t>
      </w:r>
      <w:r w:rsidR="00BB72CA">
        <w:rPr>
          <w:rFonts w:ascii="Arial" w:hAnsi="Arial" w:cs="Arial"/>
          <w:sz w:val="24"/>
          <w:szCs w:val="24"/>
        </w:rPr>
        <w:t>convencional e</w:t>
      </w:r>
      <w:r>
        <w:rPr>
          <w:rFonts w:ascii="Arial" w:hAnsi="Arial" w:cs="Arial"/>
          <w:sz w:val="24"/>
          <w:szCs w:val="24"/>
        </w:rPr>
        <w:t xml:space="preserve"> legal</w:t>
      </w:r>
      <w:r w:rsidR="003B4DA4">
        <w:rPr>
          <w:rFonts w:ascii="Arial" w:hAnsi="Arial" w:cs="Arial"/>
          <w:sz w:val="24"/>
          <w:szCs w:val="24"/>
        </w:rPr>
        <w:t>)</w:t>
      </w:r>
      <w:r w:rsidR="00384C18">
        <w:rPr>
          <w:rStyle w:val="Refdenotaderodap"/>
          <w:rFonts w:ascii="Arial" w:hAnsi="Arial" w:cs="Arial"/>
          <w:sz w:val="24"/>
          <w:szCs w:val="24"/>
        </w:rPr>
        <w:footnoteReference w:id="112"/>
      </w:r>
      <w:r w:rsidR="00384C18">
        <w:rPr>
          <w:rFonts w:ascii="Arial" w:hAnsi="Arial" w:cs="Arial"/>
          <w:sz w:val="24"/>
          <w:szCs w:val="24"/>
        </w:rPr>
        <w:t>.</w:t>
      </w:r>
    </w:p>
    <w:p w:rsidR="00C915C9" w:rsidRDefault="00E1439F" w:rsidP="000C0F87">
      <w:pPr>
        <w:autoSpaceDE w:val="0"/>
        <w:autoSpaceDN w:val="0"/>
        <w:adjustRightInd w:val="0"/>
        <w:ind w:firstLine="851"/>
        <w:jc w:val="both"/>
        <w:rPr>
          <w:rFonts w:ascii="Arial" w:hAnsi="Arial" w:cs="Arial"/>
          <w:sz w:val="24"/>
          <w:szCs w:val="24"/>
        </w:rPr>
      </w:pPr>
      <w:r>
        <w:rPr>
          <w:rFonts w:ascii="Arial" w:hAnsi="Arial" w:cs="Arial"/>
          <w:sz w:val="24"/>
          <w:szCs w:val="24"/>
        </w:rPr>
        <w:t xml:space="preserve">No entanto, nada obstante a significativa ampliação da segurança jurídica aos cônjuges, </w:t>
      </w:r>
      <w:r w:rsidR="00C915C9">
        <w:rPr>
          <w:rFonts w:ascii="Arial" w:hAnsi="Arial" w:cs="Arial"/>
          <w:sz w:val="24"/>
          <w:szCs w:val="24"/>
        </w:rPr>
        <w:t xml:space="preserve">inegável </w:t>
      </w:r>
      <w:r w:rsidR="00C915C9" w:rsidRPr="00C915C9">
        <w:rPr>
          <w:rFonts w:ascii="Arial" w:hAnsi="Arial" w:cs="Arial"/>
          <w:sz w:val="24"/>
          <w:szCs w:val="24"/>
        </w:rPr>
        <w:t xml:space="preserve">que a supressão do adjetivo “obrigatória” acarretaria em redução </w:t>
      </w:r>
      <w:r w:rsidR="00C915C9" w:rsidRPr="00C915C9">
        <w:rPr>
          <w:rFonts w:ascii="Arial" w:hAnsi="Arial" w:cs="Arial"/>
          <w:sz w:val="24"/>
          <w:szCs w:val="24"/>
        </w:rPr>
        <w:lastRenderedPageBreak/>
        <w:t xml:space="preserve">da proteção ao viúvo, </w:t>
      </w:r>
      <w:r>
        <w:rPr>
          <w:rFonts w:ascii="Arial" w:hAnsi="Arial" w:cs="Arial"/>
          <w:sz w:val="24"/>
          <w:szCs w:val="24"/>
        </w:rPr>
        <w:t>violando</w:t>
      </w:r>
      <w:r w:rsidR="00C915C9" w:rsidRPr="00C915C9">
        <w:rPr>
          <w:rFonts w:ascii="Arial" w:hAnsi="Arial" w:cs="Arial"/>
          <w:sz w:val="24"/>
          <w:szCs w:val="24"/>
        </w:rPr>
        <w:t xml:space="preserve"> a intenção do Código Civil de 2002 de conceder maior amparo</w:t>
      </w:r>
      <w:r w:rsidR="00384C18">
        <w:rPr>
          <w:rFonts w:ascii="Arial" w:hAnsi="Arial" w:cs="Arial"/>
          <w:sz w:val="24"/>
          <w:szCs w:val="24"/>
        </w:rPr>
        <w:t xml:space="preserve"> hereditário</w:t>
      </w:r>
      <w:r w:rsidR="00C915C9" w:rsidRPr="00C915C9">
        <w:rPr>
          <w:rFonts w:ascii="Arial" w:hAnsi="Arial" w:cs="Arial"/>
          <w:sz w:val="24"/>
          <w:szCs w:val="24"/>
        </w:rPr>
        <w:t xml:space="preserve"> </w:t>
      </w:r>
      <w:r w:rsidR="00384C18">
        <w:rPr>
          <w:rFonts w:ascii="Arial" w:hAnsi="Arial" w:cs="Arial"/>
          <w:sz w:val="24"/>
          <w:szCs w:val="24"/>
        </w:rPr>
        <w:t>ao cônjuge</w:t>
      </w:r>
      <w:r w:rsidR="00C915C9">
        <w:rPr>
          <w:rStyle w:val="Refdenotaderodap"/>
          <w:rFonts w:ascii="Arial" w:hAnsi="Arial" w:cs="Arial"/>
          <w:sz w:val="24"/>
          <w:szCs w:val="24"/>
        </w:rPr>
        <w:footnoteReference w:id="113"/>
      </w:r>
      <w:r w:rsidR="00C915C9" w:rsidRPr="00C915C9">
        <w:rPr>
          <w:rFonts w:ascii="Arial" w:hAnsi="Arial" w:cs="Arial"/>
          <w:sz w:val="24"/>
          <w:szCs w:val="24"/>
        </w:rPr>
        <w:t>.</w:t>
      </w:r>
      <w:r w:rsidR="00384C18">
        <w:rPr>
          <w:rFonts w:ascii="Arial" w:hAnsi="Arial" w:cs="Arial"/>
          <w:sz w:val="24"/>
          <w:szCs w:val="24"/>
        </w:rPr>
        <w:t xml:space="preserve"> </w:t>
      </w:r>
    </w:p>
    <w:p w:rsidR="00E7021C" w:rsidRPr="00523D71" w:rsidRDefault="00E1439F" w:rsidP="000C0F87">
      <w:pPr>
        <w:autoSpaceDE w:val="0"/>
        <w:autoSpaceDN w:val="0"/>
        <w:adjustRightInd w:val="0"/>
        <w:ind w:firstLine="851"/>
        <w:jc w:val="both"/>
        <w:rPr>
          <w:rFonts w:ascii="Arial" w:hAnsi="Arial" w:cs="Arial"/>
          <w:iCs/>
          <w:color w:val="000000"/>
        </w:rPr>
      </w:pPr>
      <w:r w:rsidRPr="005D7D1D">
        <w:rPr>
          <w:rFonts w:ascii="Arial" w:hAnsi="Arial" w:cs="Arial"/>
          <w:sz w:val="24"/>
          <w:szCs w:val="24"/>
        </w:rPr>
        <w:t xml:space="preserve">Assim, há uma segunda proposta de solução </w:t>
      </w:r>
      <w:r w:rsidR="005D7D1D" w:rsidRPr="005D7D1D">
        <w:rPr>
          <w:rFonts w:ascii="Arial" w:hAnsi="Arial" w:cs="Arial"/>
          <w:sz w:val="24"/>
          <w:szCs w:val="24"/>
        </w:rPr>
        <w:t>para a celeuma, defendida por Mauro Antonini, a qual pressupõe a possibilidade de, no pacto antenupcial que estipula o regime de separação convencional de bens, registrar o desejo de excluir</w:t>
      </w:r>
      <w:r w:rsidR="007F48E1">
        <w:rPr>
          <w:rStyle w:val="Refdenotaderodap"/>
          <w:rFonts w:ascii="Arial" w:hAnsi="Arial" w:cs="Arial"/>
          <w:sz w:val="24"/>
          <w:szCs w:val="24"/>
        </w:rPr>
        <w:footnoteReference w:id="114"/>
      </w:r>
      <w:r w:rsidR="005D7D1D" w:rsidRPr="005D7D1D">
        <w:rPr>
          <w:rFonts w:ascii="Arial" w:hAnsi="Arial" w:cs="Arial"/>
          <w:sz w:val="24"/>
          <w:szCs w:val="24"/>
        </w:rPr>
        <w:t xml:space="preserve"> o cônjuge a concorrência com os descendentes na sucessão </w:t>
      </w:r>
      <w:r w:rsidR="00E7021C">
        <w:rPr>
          <w:rFonts w:ascii="Arial" w:hAnsi="Arial" w:cs="Arial"/>
          <w:i/>
          <w:sz w:val="24"/>
          <w:szCs w:val="24"/>
        </w:rPr>
        <w:t xml:space="preserve">causa mortis, </w:t>
      </w:r>
      <w:r w:rsidR="00E7021C">
        <w:rPr>
          <w:rFonts w:ascii="Arial" w:hAnsi="Arial" w:cs="Arial"/>
          <w:sz w:val="24"/>
          <w:szCs w:val="24"/>
        </w:rPr>
        <w:t xml:space="preserve">discorrendo que </w:t>
      </w:r>
      <w:r w:rsidR="00E7021C" w:rsidRPr="00523D71">
        <w:rPr>
          <w:rFonts w:ascii="Arial" w:hAnsi="Arial" w:cs="Arial"/>
          <w:iCs/>
          <w:color w:val="000000"/>
          <w:sz w:val="24"/>
          <w:szCs w:val="24"/>
        </w:rPr>
        <w:t>“a</w:t>
      </w:r>
      <w:r w:rsidR="00D17F18" w:rsidRPr="00523D71">
        <w:rPr>
          <w:rFonts w:ascii="Arial" w:hAnsi="Arial" w:cs="Arial"/>
          <w:iCs/>
          <w:color w:val="000000"/>
          <w:sz w:val="24"/>
          <w:szCs w:val="24"/>
        </w:rPr>
        <w:t xml:space="preserve"> questão seria relegada, assim, à opção dos</w:t>
      </w:r>
      <w:r w:rsidR="00E7021C" w:rsidRPr="00523D71">
        <w:rPr>
          <w:rFonts w:ascii="Arial" w:hAnsi="Arial" w:cs="Arial"/>
          <w:iCs/>
          <w:color w:val="000000"/>
          <w:sz w:val="24"/>
          <w:szCs w:val="24"/>
        </w:rPr>
        <w:t xml:space="preserve"> </w:t>
      </w:r>
      <w:r w:rsidR="00D17F18" w:rsidRPr="00523D71">
        <w:rPr>
          <w:rFonts w:ascii="Arial" w:hAnsi="Arial" w:cs="Arial"/>
          <w:iCs/>
          <w:color w:val="000000"/>
          <w:sz w:val="24"/>
          <w:szCs w:val="24"/>
        </w:rPr>
        <w:t>nubentes, segundo suas conveniências, preservando-se, em</w:t>
      </w:r>
      <w:r w:rsidR="00E7021C" w:rsidRPr="00523D71">
        <w:rPr>
          <w:rFonts w:ascii="Arial" w:hAnsi="Arial" w:cs="Arial"/>
          <w:iCs/>
          <w:color w:val="000000"/>
          <w:sz w:val="24"/>
          <w:szCs w:val="24"/>
        </w:rPr>
        <w:t xml:space="preserve"> </w:t>
      </w:r>
      <w:r w:rsidR="00D17F18" w:rsidRPr="00523D71">
        <w:rPr>
          <w:rFonts w:ascii="Arial" w:hAnsi="Arial" w:cs="Arial"/>
          <w:iCs/>
          <w:color w:val="000000"/>
          <w:sz w:val="24"/>
          <w:szCs w:val="24"/>
        </w:rPr>
        <w:t>contrapartida, a possibilidade de manter a maior proteção do</w:t>
      </w:r>
      <w:r w:rsidR="00E7021C" w:rsidRPr="00523D71">
        <w:rPr>
          <w:rFonts w:ascii="Arial" w:hAnsi="Arial" w:cs="Arial"/>
          <w:iCs/>
          <w:color w:val="000000"/>
          <w:sz w:val="24"/>
          <w:szCs w:val="24"/>
        </w:rPr>
        <w:t xml:space="preserve"> </w:t>
      </w:r>
      <w:r w:rsidR="00D17F18" w:rsidRPr="00523D71">
        <w:rPr>
          <w:rFonts w:ascii="Arial" w:hAnsi="Arial" w:cs="Arial"/>
          <w:iCs/>
          <w:color w:val="000000"/>
          <w:sz w:val="24"/>
          <w:szCs w:val="24"/>
        </w:rPr>
        <w:t>cônjuge pela qual optou o atual Código</w:t>
      </w:r>
      <w:r w:rsidR="00E7021C" w:rsidRPr="00523D71">
        <w:rPr>
          <w:rFonts w:ascii="Arial" w:hAnsi="Arial" w:cs="Arial"/>
          <w:iCs/>
          <w:color w:val="000000"/>
          <w:sz w:val="24"/>
          <w:szCs w:val="24"/>
        </w:rPr>
        <w:t>”</w:t>
      </w:r>
      <w:r w:rsidR="00EA175A" w:rsidRPr="00523D71">
        <w:rPr>
          <w:rStyle w:val="Refdenotaderodap"/>
          <w:rFonts w:ascii="Arial" w:hAnsi="Arial" w:cs="Arial"/>
          <w:iCs/>
          <w:color w:val="000000"/>
          <w:sz w:val="24"/>
          <w:szCs w:val="24"/>
        </w:rPr>
        <w:footnoteReference w:id="115"/>
      </w:r>
      <w:r w:rsidR="00D17F18" w:rsidRPr="00523D71">
        <w:rPr>
          <w:rFonts w:ascii="Arial" w:hAnsi="Arial" w:cs="Arial"/>
          <w:iCs/>
          <w:color w:val="000000"/>
          <w:sz w:val="24"/>
          <w:szCs w:val="24"/>
        </w:rPr>
        <w:t>.</w:t>
      </w:r>
      <w:r w:rsidR="00D17F18" w:rsidRPr="00523D71">
        <w:rPr>
          <w:rFonts w:ascii="Arial" w:hAnsi="Arial" w:cs="Arial"/>
          <w:iCs/>
          <w:color w:val="000000"/>
        </w:rPr>
        <w:t xml:space="preserve"> </w:t>
      </w:r>
    </w:p>
    <w:p w:rsidR="00E7021C" w:rsidRDefault="00E7021C" w:rsidP="006E2DD5">
      <w:pPr>
        <w:autoSpaceDE w:val="0"/>
        <w:autoSpaceDN w:val="0"/>
        <w:adjustRightInd w:val="0"/>
        <w:ind w:firstLine="851"/>
        <w:jc w:val="both"/>
        <w:rPr>
          <w:rFonts w:ascii="Arial" w:hAnsi="Arial" w:cs="Arial"/>
          <w:iCs/>
          <w:color w:val="000000"/>
          <w:sz w:val="24"/>
          <w:szCs w:val="24"/>
        </w:rPr>
      </w:pPr>
      <w:r>
        <w:rPr>
          <w:rFonts w:ascii="Arial" w:hAnsi="Arial" w:cs="Arial"/>
          <w:iCs/>
          <w:color w:val="000000"/>
          <w:sz w:val="24"/>
          <w:szCs w:val="24"/>
        </w:rPr>
        <w:t>Essa solução, portanto, apresenta-se como a mais coerente, porquanto mantém a proteção hereditária conferida ao cônjuge no Código Civil de 2002 e, simultaneamente, preserva a autonomia da vontade do nubente que deseja afastar o consorte da concorrência sobre o patrimônio, após a sua morte.</w:t>
      </w:r>
    </w:p>
    <w:p w:rsidR="00E71783" w:rsidRDefault="00E7021C" w:rsidP="006E2DD5">
      <w:pPr>
        <w:autoSpaceDE w:val="0"/>
        <w:autoSpaceDN w:val="0"/>
        <w:adjustRightInd w:val="0"/>
        <w:ind w:firstLine="851"/>
        <w:jc w:val="both"/>
        <w:rPr>
          <w:rFonts w:ascii="Arial" w:hAnsi="Arial" w:cs="Arial"/>
          <w:iCs/>
          <w:color w:val="000000"/>
          <w:sz w:val="24"/>
          <w:szCs w:val="24"/>
        </w:rPr>
      </w:pPr>
      <w:r w:rsidRPr="003B4DA4">
        <w:rPr>
          <w:rFonts w:ascii="Arial" w:hAnsi="Arial" w:cs="Arial"/>
          <w:iCs/>
          <w:sz w:val="24"/>
          <w:szCs w:val="24"/>
        </w:rPr>
        <w:t xml:space="preserve">No entanto, </w:t>
      </w:r>
      <w:r w:rsidR="002662B5">
        <w:rPr>
          <w:rFonts w:ascii="Arial" w:hAnsi="Arial" w:cs="Arial"/>
          <w:iCs/>
          <w:sz w:val="24"/>
          <w:szCs w:val="24"/>
        </w:rPr>
        <w:t>segundo Washington de Barros Monteiro</w:t>
      </w:r>
      <w:r w:rsidR="007A169F">
        <w:rPr>
          <w:rFonts w:ascii="Arial" w:hAnsi="Arial" w:cs="Arial"/>
          <w:iCs/>
          <w:sz w:val="24"/>
          <w:szCs w:val="24"/>
        </w:rPr>
        <w:t xml:space="preserve"> </w:t>
      </w:r>
      <w:r w:rsidR="007A169F" w:rsidRPr="003B4DA4">
        <w:rPr>
          <w:rFonts w:ascii="Arial" w:hAnsi="Arial" w:cs="Arial"/>
          <w:iCs/>
          <w:sz w:val="24"/>
          <w:szCs w:val="24"/>
        </w:rPr>
        <w:t>referida alternativa demandaria</w:t>
      </w:r>
      <w:r w:rsidR="007A169F">
        <w:rPr>
          <w:rFonts w:ascii="Arial" w:hAnsi="Arial" w:cs="Arial"/>
          <w:iCs/>
          <w:sz w:val="24"/>
          <w:szCs w:val="24"/>
        </w:rPr>
        <w:t xml:space="preserve"> </w:t>
      </w:r>
      <w:r w:rsidR="002662B5">
        <w:rPr>
          <w:rFonts w:ascii="Arial" w:hAnsi="Arial" w:cs="Arial"/>
          <w:iCs/>
          <w:sz w:val="24"/>
          <w:szCs w:val="24"/>
        </w:rPr>
        <w:t>uma</w:t>
      </w:r>
      <w:r w:rsidR="00B70A06" w:rsidRPr="003B4DA4">
        <w:rPr>
          <w:rFonts w:ascii="Arial" w:hAnsi="Arial" w:cs="Arial"/>
          <w:iCs/>
          <w:sz w:val="24"/>
          <w:szCs w:val="24"/>
        </w:rPr>
        <w:t xml:space="preserve"> alteração legislativa, </w:t>
      </w:r>
      <w:r w:rsidR="002662B5">
        <w:rPr>
          <w:rFonts w:ascii="Arial" w:hAnsi="Arial" w:cs="Arial"/>
          <w:iCs/>
          <w:sz w:val="24"/>
          <w:szCs w:val="24"/>
        </w:rPr>
        <w:t>porquanto</w:t>
      </w:r>
      <w:r w:rsidR="00B70A06" w:rsidRPr="003B4DA4">
        <w:rPr>
          <w:rFonts w:ascii="Arial" w:hAnsi="Arial" w:cs="Arial"/>
          <w:iCs/>
          <w:sz w:val="24"/>
          <w:szCs w:val="24"/>
        </w:rPr>
        <w:t xml:space="preserve"> </w:t>
      </w:r>
      <w:r w:rsidR="003B4DA4" w:rsidRPr="003B4DA4">
        <w:rPr>
          <w:rFonts w:ascii="Arial" w:hAnsi="Arial" w:cs="Arial"/>
          <w:iCs/>
          <w:sz w:val="24"/>
          <w:szCs w:val="24"/>
        </w:rPr>
        <w:t>o artigo 426, do Código Civil</w:t>
      </w:r>
      <w:r w:rsidR="002C47CE">
        <w:rPr>
          <w:rStyle w:val="Refdenotaderodap"/>
          <w:rFonts w:ascii="Arial" w:hAnsi="Arial" w:cs="Arial"/>
          <w:iCs/>
          <w:sz w:val="24"/>
          <w:szCs w:val="24"/>
        </w:rPr>
        <w:footnoteReference w:id="116"/>
      </w:r>
      <w:r w:rsidR="003B4DA4" w:rsidRPr="003B4DA4">
        <w:rPr>
          <w:rFonts w:ascii="Arial" w:hAnsi="Arial" w:cs="Arial"/>
          <w:iCs/>
          <w:sz w:val="24"/>
          <w:szCs w:val="24"/>
        </w:rPr>
        <w:t xml:space="preserve">, </w:t>
      </w:r>
      <w:r w:rsidR="00075A66">
        <w:rPr>
          <w:rFonts w:ascii="Arial" w:hAnsi="Arial" w:cs="Arial"/>
          <w:iCs/>
          <w:sz w:val="24"/>
          <w:szCs w:val="24"/>
        </w:rPr>
        <w:t xml:space="preserve">veda o chamado </w:t>
      </w:r>
      <w:r w:rsidR="00075A66">
        <w:rPr>
          <w:rFonts w:ascii="Arial" w:hAnsi="Arial" w:cs="Arial"/>
          <w:i/>
          <w:iCs/>
          <w:sz w:val="24"/>
          <w:szCs w:val="24"/>
        </w:rPr>
        <w:t>pacto corvina</w:t>
      </w:r>
      <w:r w:rsidR="00B70A06">
        <w:rPr>
          <w:rStyle w:val="Refdenotaderodap"/>
          <w:rFonts w:ascii="Arial" w:hAnsi="Arial" w:cs="Arial"/>
          <w:iCs/>
          <w:color w:val="000000"/>
          <w:sz w:val="24"/>
          <w:szCs w:val="24"/>
        </w:rPr>
        <w:footnoteReference w:id="117"/>
      </w:r>
      <w:r w:rsidR="007A169F">
        <w:rPr>
          <w:rFonts w:ascii="Arial" w:hAnsi="Arial" w:cs="Arial"/>
          <w:iCs/>
          <w:color w:val="000000"/>
          <w:sz w:val="24"/>
          <w:szCs w:val="24"/>
        </w:rPr>
        <w:t xml:space="preserve">. Vale dizer, </w:t>
      </w:r>
      <w:r w:rsidR="00E71783">
        <w:rPr>
          <w:rFonts w:ascii="Arial" w:hAnsi="Arial" w:cs="Arial"/>
          <w:iCs/>
          <w:color w:val="000000"/>
          <w:sz w:val="24"/>
          <w:szCs w:val="24"/>
        </w:rPr>
        <w:t>pela legislação brasileira, não pode ser negociada a herança de pessoa viva, a fim de impedir o desejo da morte ou de sua antecipação por parte dos herdeiros</w:t>
      </w:r>
      <w:r w:rsidR="00075A66">
        <w:rPr>
          <w:rStyle w:val="Refdenotaderodap"/>
          <w:rFonts w:ascii="Arial" w:hAnsi="Arial" w:cs="Arial"/>
          <w:iCs/>
          <w:color w:val="000000"/>
          <w:sz w:val="24"/>
          <w:szCs w:val="24"/>
        </w:rPr>
        <w:footnoteReference w:id="118"/>
      </w:r>
      <w:r w:rsidR="00E71783">
        <w:rPr>
          <w:rFonts w:ascii="Arial" w:hAnsi="Arial" w:cs="Arial"/>
          <w:iCs/>
          <w:color w:val="000000"/>
          <w:sz w:val="24"/>
          <w:szCs w:val="24"/>
        </w:rPr>
        <w:t>.</w:t>
      </w:r>
    </w:p>
    <w:p w:rsidR="00E71783" w:rsidRDefault="00FF24BD" w:rsidP="006E2DD5">
      <w:pPr>
        <w:autoSpaceDE w:val="0"/>
        <w:autoSpaceDN w:val="0"/>
        <w:adjustRightInd w:val="0"/>
        <w:ind w:firstLine="851"/>
        <w:jc w:val="both"/>
        <w:rPr>
          <w:rFonts w:ascii="Arial" w:hAnsi="Arial" w:cs="Arial"/>
          <w:iCs/>
          <w:color w:val="000000"/>
          <w:sz w:val="24"/>
          <w:szCs w:val="24"/>
        </w:rPr>
      </w:pPr>
      <w:r>
        <w:rPr>
          <w:rFonts w:ascii="Arial" w:hAnsi="Arial" w:cs="Arial"/>
          <w:iCs/>
          <w:color w:val="000000"/>
          <w:sz w:val="24"/>
          <w:szCs w:val="24"/>
        </w:rPr>
        <w:t>Assim, nas palavras de José Fernando Simão, para conceder o direito aos cônjuges de renúncia sobre a herança do outro no pacto antenupcial, seria necessário acrescentar, no artigo 426, do Código Civil a seguinte redação:</w:t>
      </w:r>
    </w:p>
    <w:p w:rsidR="00FF24BD" w:rsidRDefault="00FF24BD" w:rsidP="00E71783">
      <w:pPr>
        <w:autoSpaceDE w:val="0"/>
        <w:autoSpaceDN w:val="0"/>
        <w:adjustRightInd w:val="0"/>
        <w:ind w:firstLine="709"/>
        <w:jc w:val="both"/>
        <w:rPr>
          <w:rFonts w:ascii="Arial" w:hAnsi="Arial" w:cs="Arial"/>
          <w:iCs/>
          <w:color w:val="000000"/>
          <w:sz w:val="24"/>
          <w:szCs w:val="24"/>
        </w:rPr>
      </w:pPr>
    </w:p>
    <w:p w:rsidR="00FF24BD" w:rsidRPr="00FF24BD" w:rsidRDefault="00FF24BD" w:rsidP="00FF24BD">
      <w:pPr>
        <w:shd w:val="clear" w:color="auto" w:fill="FFFFFF"/>
        <w:spacing w:line="240" w:lineRule="auto"/>
        <w:ind w:left="2268"/>
        <w:jc w:val="both"/>
        <w:textAlignment w:val="baseline"/>
        <w:rPr>
          <w:rFonts w:ascii="Arial" w:eastAsia="Times New Roman" w:hAnsi="Arial" w:cs="Arial"/>
          <w:color w:val="000000" w:themeColor="text1"/>
          <w:sz w:val="20"/>
          <w:szCs w:val="20"/>
          <w:lang w:eastAsia="pt-BR"/>
        </w:rPr>
      </w:pPr>
      <w:r w:rsidRPr="00FF24BD">
        <w:rPr>
          <w:rFonts w:ascii="Arial" w:eastAsia="Times New Roman" w:hAnsi="Arial" w:cs="Arial"/>
          <w:color w:val="000000" w:themeColor="text1"/>
          <w:sz w:val="20"/>
          <w:szCs w:val="20"/>
          <w:lang w:eastAsia="pt-BR"/>
        </w:rPr>
        <w:t>Art. 426. Não pode ser objeto de contrato a herança de pessoa viva</w:t>
      </w:r>
      <w:r>
        <w:rPr>
          <w:rFonts w:ascii="Arial" w:eastAsia="Times New Roman" w:hAnsi="Arial" w:cs="Arial"/>
          <w:color w:val="000000" w:themeColor="text1"/>
          <w:sz w:val="20"/>
          <w:szCs w:val="20"/>
          <w:lang w:eastAsia="pt-BR"/>
        </w:rPr>
        <w:t>.</w:t>
      </w:r>
    </w:p>
    <w:p w:rsidR="00FF24BD" w:rsidRPr="00FF24BD" w:rsidRDefault="00FF24BD" w:rsidP="00FF24BD">
      <w:pPr>
        <w:autoSpaceDE w:val="0"/>
        <w:autoSpaceDN w:val="0"/>
        <w:adjustRightInd w:val="0"/>
        <w:spacing w:line="240" w:lineRule="auto"/>
        <w:ind w:left="2268"/>
        <w:jc w:val="both"/>
        <w:rPr>
          <w:rFonts w:ascii="Arial" w:hAnsi="Arial" w:cs="Arial"/>
          <w:iCs/>
          <w:color w:val="000000" w:themeColor="text1"/>
          <w:sz w:val="20"/>
          <w:szCs w:val="20"/>
        </w:rPr>
      </w:pPr>
      <w:r w:rsidRPr="00FF24BD">
        <w:rPr>
          <w:rFonts w:ascii="Arial" w:eastAsia="Times New Roman" w:hAnsi="Arial" w:cs="Arial"/>
          <w:color w:val="000000" w:themeColor="text1"/>
          <w:sz w:val="20"/>
          <w:szCs w:val="20"/>
          <w:lang w:eastAsia="pt-BR"/>
        </w:rPr>
        <w:t xml:space="preserve">Parágrafo único: Por meio de pacto antenupcial, os nubentes podem convencionar que em caso de dissolução do casamento por morte, a partilha </w:t>
      </w:r>
      <w:r w:rsidRPr="00FF24BD">
        <w:rPr>
          <w:rFonts w:ascii="Arial" w:eastAsia="Times New Roman" w:hAnsi="Arial" w:cs="Arial"/>
          <w:color w:val="000000" w:themeColor="text1"/>
          <w:sz w:val="20"/>
          <w:szCs w:val="20"/>
          <w:lang w:eastAsia="pt-BR"/>
        </w:rPr>
        <w:lastRenderedPageBreak/>
        <w:t>se faça por qualquer dos regimes previstos no Código Civil, ainda que distinto daquele convencionado</w:t>
      </w:r>
      <w:r w:rsidR="00B904F4">
        <w:rPr>
          <w:rStyle w:val="Refdenotaderodap"/>
          <w:rFonts w:ascii="Arial" w:eastAsia="Times New Roman" w:hAnsi="Arial" w:cs="Arial"/>
          <w:color w:val="000000" w:themeColor="text1"/>
          <w:sz w:val="20"/>
          <w:szCs w:val="20"/>
          <w:lang w:eastAsia="pt-BR"/>
        </w:rPr>
        <w:footnoteReference w:id="119"/>
      </w:r>
      <w:r w:rsidRPr="00FF24BD">
        <w:rPr>
          <w:rFonts w:ascii="Arial" w:eastAsia="Times New Roman" w:hAnsi="Arial" w:cs="Arial"/>
          <w:color w:val="000000" w:themeColor="text1"/>
          <w:sz w:val="20"/>
          <w:szCs w:val="20"/>
          <w:lang w:eastAsia="pt-BR"/>
        </w:rPr>
        <w:t>.</w:t>
      </w:r>
    </w:p>
    <w:p w:rsidR="00FF24BD" w:rsidRDefault="00FF24BD" w:rsidP="00E71783">
      <w:pPr>
        <w:autoSpaceDE w:val="0"/>
        <w:autoSpaceDN w:val="0"/>
        <w:adjustRightInd w:val="0"/>
        <w:ind w:firstLine="709"/>
        <w:jc w:val="both"/>
        <w:rPr>
          <w:rFonts w:ascii="Arial" w:hAnsi="Arial" w:cs="Arial"/>
          <w:iCs/>
          <w:color w:val="000000"/>
          <w:sz w:val="24"/>
          <w:szCs w:val="24"/>
        </w:rPr>
      </w:pPr>
    </w:p>
    <w:p w:rsidR="004B3190" w:rsidRDefault="004B3190" w:rsidP="006E2DD5">
      <w:pPr>
        <w:autoSpaceDE w:val="0"/>
        <w:autoSpaceDN w:val="0"/>
        <w:adjustRightInd w:val="0"/>
        <w:ind w:firstLine="851"/>
        <w:jc w:val="both"/>
        <w:rPr>
          <w:rFonts w:ascii="Arial" w:hAnsi="Arial" w:cs="Arial"/>
          <w:iCs/>
          <w:color w:val="000000"/>
          <w:sz w:val="24"/>
          <w:szCs w:val="24"/>
        </w:rPr>
      </w:pPr>
      <w:r>
        <w:rPr>
          <w:rFonts w:ascii="Arial" w:hAnsi="Arial" w:cs="Arial"/>
          <w:iCs/>
          <w:color w:val="000000"/>
          <w:sz w:val="24"/>
          <w:szCs w:val="24"/>
        </w:rPr>
        <w:t xml:space="preserve">Desse modo, preservar-se-ia a vontade dos cônjuges e, ao mesmo tempo, asseguraria a maior proteção que o Código Civil pretendeu dar ao viúvo. </w:t>
      </w:r>
    </w:p>
    <w:p w:rsidR="003B4DA4" w:rsidRDefault="009977E7" w:rsidP="006E2DD5">
      <w:pPr>
        <w:autoSpaceDE w:val="0"/>
        <w:autoSpaceDN w:val="0"/>
        <w:adjustRightInd w:val="0"/>
        <w:ind w:firstLine="851"/>
        <w:jc w:val="both"/>
        <w:rPr>
          <w:rFonts w:ascii="Arial" w:hAnsi="Arial" w:cs="Arial"/>
          <w:i/>
          <w:iCs/>
          <w:color w:val="000000"/>
          <w:sz w:val="24"/>
          <w:szCs w:val="24"/>
        </w:rPr>
      </w:pPr>
      <w:r>
        <w:rPr>
          <w:rFonts w:ascii="Arial" w:hAnsi="Arial" w:cs="Arial"/>
          <w:iCs/>
          <w:color w:val="000000"/>
          <w:sz w:val="24"/>
          <w:szCs w:val="24"/>
        </w:rPr>
        <w:t>Lado outro, t</w:t>
      </w:r>
      <w:r w:rsidR="00417674">
        <w:rPr>
          <w:rFonts w:ascii="Arial" w:hAnsi="Arial" w:cs="Arial"/>
          <w:iCs/>
          <w:color w:val="000000"/>
          <w:sz w:val="24"/>
          <w:szCs w:val="24"/>
        </w:rPr>
        <w:t xml:space="preserve">ranspondo a barreira da aludida necessidade de alteração legislativa, Francisco Cahali </w:t>
      </w:r>
      <w:r w:rsidR="003B4DA4">
        <w:rPr>
          <w:rFonts w:ascii="Arial" w:hAnsi="Arial" w:cs="Arial"/>
          <w:iCs/>
          <w:color w:val="000000"/>
          <w:sz w:val="24"/>
          <w:szCs w:val="24"/>
        </w:rPr>
        <w:t xml:space="preserve">entende que </w:t>
      </w:r>
      <w:r w:rsidR="003B4DA4" w:rsidRPr="00523D71">
        <w:rPr>
          <w:rFonts w:ascii="Arial" w:hAnsi="Arial" w:cs="Arial"/>
          <w:iCs/>
          <w:color w:val="000000"/>
          <w:sz w:val="24"/>
          <w:szCs w:val="24"/>
        </w:rPr>
        <w:t>“a convenção afastando o direito sucessório recíproco é válida, e deve ser buscada a sua eficácia”, pontuando</w:t>
      </w:r>
      <w:r w:rsidR="003B4DA4">
        <w:rPr>
          <w:rFonts w:ascii="Arial" w:hAnsi="Arial" w:cs="Arial"/>
          <w:iCs/>
          <w:color w:val="000000"/>
          <w:sz w:val="24"/>
          <w:szCs w:val="24"/>
        </w:rPr>
        <w:t>, nesse sentido, que</w:t>
      </w:r>
      <w:r w:rsidR="00100BAF">
        <w:rPr>
          <w:rFonts w:ascii="Arial" w:hAnsi="Arial" w:cs="Arial"/>
          <w:iCs/>
          <w:color w:val="000000"/>
          <w:sz w:val="24"/>
          <w:szCs w:val="24"/>
        </w:rPr>
        <w:t xml:space="preserve"> a mera estipulação, em pacto antenupcial, no sentido de excluir o cônjuge da herança necessária,</w:t>
      </w:r>
      <w:r w:rsidR="003B4DA4">
        <w:rPr>
          <w:rFonts w:ascii="Arial" w:hAnsi="Arial" w:cs="Arial"/>
          <w:iCs/>
          <w:color w:val="000000"/>
          <w:sz w:val="24"/>
          <w:szCs w:val="24"/>
        </w:rPr>
        <w:t xml:space="preserve"> não se trataria de </w:t>
      </w:r>
      <w:r w:rsidR="003B4DA4">
        <w:rPr>
          <w:rFonts w:ascii="Arial" w:hAnsi="Arial" w:cs="Arial"/>
          <w:i/>
          <w:iCs/>
          <w:color w:val="000000"/>
          <w:sz w:val="24"/>
          <w:szCs w:val="24"/>
        </w:rPr>
        <w:t>pacta corvina</w:t>
      </w:r>
      <w:r w:rsidR="003F13E8">
        <w:rPr>
          <w:rStyle w:val="Refdenotaderodap"/>
          <w:rFonts w:ascii="Arial" w:hAnsi="Arial" w:cs="Arial"/>
          <w:i/>
          <w:iCs/>
          <w:color w:val="000000"/>
          <w:sz w:val="24"/>
          <w:szCs w:val="24"/>
        </w:rPr>
        <w:footnoteReference w:id="120"/>
      </w:r>
      <w:r w:rsidR="003B4DA4">
        <w:rPr>
          <w:rFonts w:ascii="Arial" w:hAnsi="Arial" w:cs="Arial"/>
          <w:i/>
          <w:iCs/>
          <w:color w:val="000000"/>
          <w:sz w:val="24"/>
          <w:szCs w:val="24"/>
        </w:rPr>
        <w:t>:</w:t>
      </w:r>
    </w:p>
    <w:p w:rsidR="003B4DA4" w:rsidRPr="003B4DA4" w:rsidRDefault="003B4DA4" w:rsidP="003B4DA4">
      <w:pPr>
        <w:autoSpaceDE w:val="0"/>
        <w:autoSpaceDN w:val="0"/>
        <w:adjustRightInd w:val="0"/>
        <w:spacing w:line="240" w:lineRule="auto"/>
        <w:ind w:left="2268"/>
        <w:jc w:val="both"/>
        <w:rPr>
          <w:rFonts w:ascii="Arial" w:hAnsi="Arial" w:cs="Arial"/>
          <w:i/>
          <w:iCs/>
          <w:color w:val="000000"/>
          <w:sz w:val="20"/>
          <w:szCs w:val="20"/>
        </w:rPr>
      </w:pPr>
    </w:p>
    <w:p w:rsidR="003B4DA4" w:rsidRPr="003B4DA4" w:rsidRDefault="003B4DA4" w:rsidP="003B4DA4">
      <w:pPr>
        <w:autoSpaceDE w:val="0"/>
        <w:autoSpaceDN w:val="0"/>
        <w:adjustRightInd w:val="0"/>
        <w:spacing w:line="240" w:lineRule="auto"/>
        <w:ind w:left="2268"/>
        <w:jc w:val="both"/>
        <w:rPr>
          <w:rFonts w:ascii="Arial" w:hAnsi="Arial" w:cs="Arial"/>
          <w:iCs/>
          <w:color w:val="000000"/>
          <w:sz w:val="20"/>
          <w:szCs w:val="20"/>
        </w:rPr>
      </w:pPr>
      <w:r w:rsidRPr="003B4DA4">
        <w:rPr>
          <w:rFonts w:ascii="Arial" w:hAnsi="Arial" w:cs="Arial"/>
          <w:iCs/>
          <w:color w:val="000000"/>
          <w:sz w:val="20"/>
          <w:szCs w:val="20"/>
        </w:rPr>
        <w:t xml:space="preserve">E não se diga que representaria </w:t>
      </w:r>
      <w:r w:rsidRPr="003B4DA4">
        <w:rPr>
          <w:rFonts w:ascii="Arial" w:hAnsi="Arial" w:cs="Arial"/>
          <w:i/>
          <w:iCs/>
          <w:color w:val="000000"/>
          <w:sz w:val="20"/>
          <w:szCs w:val="20"/>
        </w:rPr>
        <w:t xml:space="preserve">pacta corvina, </w:t>
      </w:r>
      <w:r w:rsidRPr="003B4DA4">
        <w:rPr>
          <w:rFonts w:ascii="Arial" w:hAnsi="Arial" w:cs="Arial"/>
          <w:iCs/>
          <w:color w:val="000000"/>
          <w:sz w:val="20"/>
          <w:szCs w:val="20"/>
        </w:rPr>
        <w:t>vedada em nosso sistema (...), pois não se está dispondo de direito sucessório em favor de terceiros, mas em benefício do próprio titular do patrimônio (potencial autor da herança) e com a sua concordância, conferindo-lhe liberdade de dispor do acervo, respeitada a legítima de outros eventuais herdeiros necessários</w:t>
      </w:r>
      <w:r w:rsidR="008C0D43">
        <w:rPr>
          <w:rStyle w:val="Refdenotaderodap"/>
          <w:rFonts w:ascii="Arial" w:hAnsi="Arial" w:cs="Arial"/>
          <w:iCs/>
          <w:color w:val="000000"/>
          <w:sz w:val="20"/>
          <w:szCs w:val="20"/>
        </w:rPr>
        <w:footnoteReference w:id="121"/>
      </w:r>
      <w:r w:rsidRPr="003B4DA4">
        <w:rPr>
          <w:rFonts w:ascii="Arial" w:hAnsi="Arial" w:cs="Arial"/>
          <w:iCs/>
          <w:color w:val="000000"/>
          <w:sz w:val="20"/>
          <w:szCs w:val="20"/>
        </w:rPr>
        <w:t xml:space="preserve">. </w:t>
      </w:r>
    </w:p>
    <w:p w:rsidR="00B70A06" w:rsidRDefault="00B70A06" w:rsidP="003F13E8">
      <w:pPr>
        <w:autoSpaceDE w:val="0"/>
        <w:autoSpaceDN w:val="0"/>
        <w:adjustRightInd w:val="0"/>
        <w:jc w:val="left"/>
        <w:rPr>
          <w:rFonts w:ascii="Arial" w:hAnsi="Arial" w:cs="Arial"/>
          <w:b/>
          <w:bCs/>
          <w:i/>
          <w:iCs/>
          <w:color w:val="000000"/>
        </w:rPr>
      </w:pPr>
    </w:p>
    <w:p w:rsidR="008F43DE" w:rsidRDefault="00EB2754" w:rsidP="006E2DD5">
      <w:pPr>
        <w:autoSpaceDE w:val="0"/>
        <w:autoSpaceDN w:val="0"/>
        <w:adjustRightInd w:val="0"/>
        <w:ind w:firstLine="851"/>
        <w:jc w:val="both"/>
        <w:rPr>
          <w:rFonts w:ascii="Arial" w:hAnsi="Arial" w:cs="Arial"/>
          <w:bCs/>
          <w:iCs/>
          <w:color w:val="000000"/>
          <w:sz w:val="24"/>
          <w:szCs w:val="24"/>
        </w:rPr>
      </w:pPr>
      <w:r>
        <w:rPr>
          <w:rFonts w:ascii="Arial" w:hAnsi="Arial" w:cs="Arial"/>
          <w:bCs/>
          <w:iCs/>
          <w:color w:val="000000"/>
          <w:sz w:val="24"/>
          <w:szCs w:val="24"/>
        </w:rPr>
        <w:t xml:space="preserve">Destarte, </w:t>
      </w:r>
      <w:r w:rsidR="009977E7">
        <w:rPr>
          <w:rFonts w:ascii="Arial" w:hAnsi="Arial" w:cs="Arial"/>
          <w:bCs/>
          <w:iCs/>
          <w:color w:val="000000"/>
          <w:sz w:val="24"/>
          <w:szCs w:val="24"/>
        </w:rPr>
        <w:t xml:space="preserve">por não se tratar de pacto que antecipa a estipulação de herança, mas que apenas </w:t>
      </w:r>
      <w:r w:rsidR="00FD252B">
        <w:rPr>
          <w:rFonts w:ascii="Arial" w:hAnsi="Arial" w:cs="Arial"/>
          <w:bCs/>
          <w:iCs/>
          <w:color w:val="000000"/>
          <w:sz w:val="24"/>
          <w:szCs w:val="24"/>
        </w:rPr>
        <w:t xml:space="preserve">determina </w:t>
      </w:r>
      <w:r w:rsidR="009977E7">
        <w:rPr>
          <w:rFonts w:ascii="Arial" w:hAnsi="Arial" w:cs="Arial"/>
          <w:bCs/>
          <w:iCs/>
          <w:color w:val="000000"/>
          <w:sz w:val="24"/>
          <w:szCs w:val="24"/>
        </w:rPr>
        <w:t>a participação do cônjuge sobre o acervo hereditário, referida disposição</w:t>
      </w:r>
      <w:r w:rsidR="009B4CA7">
        <w:rPr>
          <w:rFonts w:ascii="Arial" w:hAnsi="Arial" w:cs="Arial"/>
          <w:bCs/>
          <w:iCs/>
          <w:color w:val="000000"/>
          <w:sz w:val="24"/>
          <w:szCs w:val="24"/>
        </w:rPr>
        <w:t xml:space="preserve"> sequer necessitaria de alteração legislativa, uma vez que </w:t>
      </w:r>
      <w:r w:rsidR="004538F8">
        <w:rPr>
          <w:rFonts w:ascii="Arial" w:hAnsi="Arial" w:cs="Arial"/>
          <w:bCs/>
          <w:iCs/>
          <w:color w:val="000000"/>
          <w:sz w:val="24"/>
          <w:szCs w:val="24"/>
        </w:rPr>
        <w:t>mais se relaciona com o próprio poder de disposição de bens</w:t>
      </w:r>
      <w:r w:rsidR="004538F8">
        <w:rPr>
          <w:rStyle w:val="Refdenotaderodap"/>
          <w:rFonts w:ascii="Arial" w:hAnsi="Arial" w:cs="Arial"/>
          <w:bCs/>
          <w:iCs/>
          <w:color w:val="000000"/>
          <w:sz w:val="24"/>
          <w:szCs w:val="24"/>
        </w:rPr>
        <w:footnoteReference w:id="122"/>
      </w:r>
      <w:r w:rsidR="004538F8">
        <w:rPr>
          <w:rFonts w:ascii="Arial" w:hAnsi="Arial" w:cs="Arial"/>
          <w:bCs/>
          <w:iCs/>
          <w:color w:val="000000"/>
          <w:sz w:val="24"/>
          <w:szCs w:val="24"/>
        </w:rPr>
        <w:t>.</w:t>
      </w:r>
    </w:p>
    <w:p w:rsidR="0033712A" w:rsidRDefault="0033712A" w:rsidP="006E2DD5">
      <w:pPr>
        <w:autoSpaceDE w:val="0"/>
        <w:autoSpaceDN w:val="0"/>
        <w:adjustRightInd w:val="0"/>
        <w:ind w:firstLine="851"/>
        <w:jc w:val="both"/>
        <w:rPr>
          <w:rFonts w:ascii="Arial" w:hAnsi="Arial" w:cs="Arial"/>
          <w:bCs/>
          <w:iCs/>
          <w:color w:val="000000"/>
          <w:sz w:val="24"/>
          <w:szCs w:val="24"/>
        </w:rPr>
      </w:pPr>
      <w:r>
        <w:rPr>
          <w:rFonts w:ascii="Arial" w:hAnsi="Arial" w:cs="Arial"/>
          <w:bCs/>
          <w:iCs/>
          <w:color w:val="000000"/>
          <w:sz w:val="24"/>
          <w:szCs w:val="24"/>
        </w:rPr>
        <w:t xml:space="preserve">Nesse sentido, encontra-se a posição de Rolf Madaleno, o qual também defende que a possibilidade de o consorte renunciar à herança, no pacto antenupcial, não configura </w:t>
      </w:r>
      <w:r w:rsidRPr="0033712A">
        <w:rPr>
          <w:rFonts w:ascii="Arial" w:hAnsi="Arial" w:cs="Arial"/>
          <w:bCs/>
          <w:i/>
          <w:iCs/>
          <w:color w:val="000000"/>
          <w:sz w:val="24"/>
          <w:szCs w:val="24"/>
        </w:rPr>
        <w:t>pacta corvina</w:t>
      </w:r>
      <w:r>
        <w:rPr>
          <w:rFonts w:ascii="Arial" w:hAnsi="Arial" w:cs="Arial"/>
          <w:bCs/>
          <w:iCs/>
          <w:color w:val="000000"/>
          <w:sz w:val="24"/>
          <w:szCs w:val="24"/>
        </w:rPr>
        <w:t>, uma vez que a renúncia prévia seria abdicativa e não aquisitiva – o que afastaria a razão moral do artigo 426, do Código Civil</w:t>
      </w:r>
      <w:r>
        <w:rPr>
          <w:rStyle w:val="Refdenotaderodap"/>
          <w:rFonts w:ascii="Arial" w:hAnsi="Arial" w:cs="Arial"/>
          <w:bCs/>
          <w:iCs/>
          <w:color w:val="000000"/>
          <w:sz w:val="24"/>
          <w:szCs w:val="24"/>
        </w:rPr>
        <w:footnoteReference w:id="123"/>
      </w:r>
      <w:r>
        <w:rPr>
          <w:rFonts w:ascii="Arial" w:hAnsi="Arial" w:cs="Arial"/>
          <w:bCs/>
          <w:iCs/>
          <w:color w:val="000000"/>
          <w:sz w:val="24"/>
          <w:szCs w:val="24"/>
        </w:rPr>
        <w:t>.</w:t>
      </w:r>
    </w:p>
    <w:p w:rsidR="004F31B4" w:rsidRDefault="00E563F1" w:rsidP="005546E1">
      <w:pPr>
        <w:autoSpaceDE w:val="0"/>
        <w:autoSpaceDN w:val="0"/>
        <w:adjustRightInd w:val="0"/>
        <w:ind w:firstLine="851"/>
        <w:jc w:val="both"/>
        <w:rPr>
          <w:rFonts w:ascii="Arial" w:hAnsi="Arial" w:cs="Arial"/>
          <w:bCs/>
          <w:iCs/>
          <w:color w:val="000000"/>
          <w:sz w:val="24"/>
          <w:szCs w:val="24"/>
        </w:rPr>
      </w:pPr>
      <w:r>
        <w:rPr>
          <w:rFonts w:ascii="Arial" w:hAnsi="Arial" w:cs="Arial"/>
          <w:bCs/>
          <w:iCs/>
          <w:color w:val="000000"/>
          <w:sz w:val="24"/>
          <w:szCs w:val="24"/>
        </w:rPr>
        <w:t xml:space="preserve">Tal posicionamento vai ao encontro da proposta de </w:t>
      </w:r>
      <w:r w:rsidR="004F31B4">
        <w:rPr>
          <w:rFonts w:ascii="Arial" w:hAnsi="Arial" w:cs="Arial"/>
          <w:bCs/>
          <w:iCs/>
          <w:color w:val="000000"/>
          <w:sz w:val="24"/>
          <w:szCs w:val="24"/>
        </w:rPr>
        <w:t xml:space="preserve">adoção do pacto antenupcial como um ato de liberdade dos cônjuges, que, em seu pleno exercício da </w:t>
      </w:r>
      <w:r>
        <w:rPr>
          <w:rFonts w:ascii="Arial" w:hAnsi="Arial" w:cs="Arial"/>
          <w:bCs/>
          <w:iCs/>
          <w:color w:val="000000"/>
          <w:sz w:val="24"/>
          <w:szCs w:val="24"/>
        </w:rPr>
        <w:t>autodetermi</w:t>
      </w:r>
      <w:r w:rsidR="004F31B4">
        <w:rPr>
          <w:rFonts w:ascii="Arial" w:hAnsi="Arial" w:cs="Arial"/>
          <w:bCs/>
          <w:iCs/>
          <w:color w:val="000000"/>
          <w:sz w:val="24"/>
          <w:szCs w:val="24"/>
        </w:rPr>
        <w:t>nação, poderiam dispor, antes da celebração do casamento, a respeito da situação de seus bens após a morte</w:t>
      </w:r>
      <w:r w:rsidR="00654625">
        <w:rPr>
          <w:rStyle w:val="Refdenotaderodap"/>
          <w:rFonts w:ascii="Arial" w:hAnsi="Arial" w:cs="Arial"/>
          <w:bCs/>
          <w:iCs/>
          <w:color w:val="000000"/>
          <w:sz w:val="24"/>
          <w:szCs w:val="24"/>
        </w:rPr>
        <w:footnoteReference w:id="124"/>
      </w:r>
      <w:r w:rsidR="004F31B4">
        <w:rPr>
          <w:rFonts w:ascii="Arial" w:hAnsi="Arial" w:cs="Arial"/>
          <w:bCs/>
          <w:iCs/>
          <w:color w:val="000000"/>
          <w:sz w:val="24"/>
          <w:szCs w:val="24"/>
        </w:rPr>
        <w:t xml:space="preserve">. </w:t>
      </w:r>
    </w:p>
    <w:p w:rsidR="00D17F18" w:rsidRPr="008F43DE" w:rsidRDefault="008F43DE" w:rsidP="006E2DD5">
      <w:pPr>
        <w:autoSpaceDE w:val="0"/>
        <w:autoSpaceDN w:val="0"/>
        <w:adjustRightInd w:val="0"/>
        <w:ind w:firstLine="851"/>
        <w:jc w:val="both"/>
        <w:rPr>
          <w:rFonts w:ascii="Arial" w:hAnsi="Arial" w:cs="Arial"/>
          <w:bCs/>
          <w:iCs/>
          <w:color w:val="000000"/>
          <w:sz w:val="24"/>
          <w:szCs w:val="24"/>
        </w:rPr>
      </w:pPr>
      <w:r w:rsidRPr="008F43DE">
        <w:rPr>
          <w:rFonts w:ascii="Arial" w:hAnsi="Arial" w:cs="Arial"/>
          <w:sz w:val="24"/>
          <w:szCs w:val="24"/>
        </w:rPr>
        <w:lastRenderedPageBreak/>
        <w:t xml:space="preserve">Percebe-se, portanto, que o tema da consideração do cônjuge casado sob o regime de separação convencional de bens como herdeiro necessário não está superado, havendo hiante insegurança jurídica diante da possibilidade de obter-se decisões opostas, em casos semelhantes. Essa constatação evidencia uma urgente necessidade de avaliar melhores critérios para a aferição do direito sobre a herança conferido ao cônjuge casado sob o regime de separação convencional de bens, devendo-se encontrar soluções que protejam a autonomia da vontade declara em vida no pacto antenupcial, sem que impliquem violação ao amparo sucessório que o Código Civil pretendeu conferir ao </w:t>
      </w:r>
      <w:r>
        <w:rPr>
          <w:rFonts w:ascii="Arial" w:hAnsi="Arial" w:cs="Arial"/>
          <w:sz w:val="24"/>
          <w:szCs w:val="24"/>
        </w:rPr>
        <w:t>viúvo</w:t>
      </w:r>
      <w:r w:rsidRPr="008F43DE">
        <w:rPr>
          <w:rFonts w:ascii="Arial" w:hAnsi="Arial" w:cs="Arial"/>
          <w:sz w:val="24"/>
          <w:szCs w:val="24"/>
        </w:rPr>
        <w:t>.</w:t>
      </w:r>
    </w:p>
    <w:p w:rsidR="00D17F18" w:rsidRDefault="00D17F18" w:rsidP="00D17F18">
      <w:pPr>
        <w:tabs>
          <w:tab w:val="left" w:pos="4830"/>
        </w:tabs>
        <w:ind w:firstLine="851"/>
        <w:jc w:val="both"/>
        <w:rPr>
          <w:rFonts w:ascii="Arial" w:hAnsi="Arial" w:cs="Arial"/>
          <w:i/>
          <w:iCs/>
          <w:color w:val="000000"/>
        </w:rPr>
      </w:pPr>
    </w:p>
    <w:p w:rsidR="008F43DE" w:rsidRDefault="006C6687" w:rsidP="0050012A">
      <w:pPr>
        <w:tabs>
          <w:tab w:val="left" w:pos="4830"/>
        </w:tabs>
        <w:jc w:val="both"/>
        <w:rPr>
          <w:rFonts w:ascii="Arial" w:hAnsi="Arial" w:cs="Arial"/>
          <w:b/>
          <w:sz w:val="24"/>
          <w:szCs w:val="24"/>
        </w:rPr>
      </w:pPr>
      <w:r>
        <w:rPr>
          <w:rFonts w:ascii="Arial" w:hAnsi="Arial" w:cs="Arial"/>
          <w:b/>
          <w:sz w:val="24"/>
          <w:szCs w:val="24"/>
        </w:rPr>
        <w:t>10</w:t>
      </w:r>
      <w:r w:rsidR="0080338C" w:rsidRPr="00336656">
        <w:rPr>
          <w:rFonts w:ascii="Arial" w:hAnsi="Arial" w:cs="Arial"/>
          <w:b/>
          <w:sz w:val="24"/>
          <w:szCs w:val="24"/>
        </w:rPr>
        <w:t xml:space="preserve"> CONCLUSÃO</w:t>
      </w:r>
    </w:p>
    <w:p w:rsidR="008F43DE" w:rsidRDefault="008F43DE" w:rsidP="0050012A">
      <w:pPr>
        <w:tabs>
          <w:tab w:val="left" w:pos="4830"/>
        </w:tabs>
        <w:jc w:val="both"/>
        <w:rPr>
          <w:rFonts w:ascii="Arial" w:hAnsi="Arial" w:cs="Arial"/>
          <w:b/>
          <w:sz w:val="24"/>
          <w:szCs w:val="24"/>
        </w:rPr>
      </w:pPr>
    </w:p>
    <w:p w:rsidR="0080338C" w:rsidRDefault="00280EA9" w:rsidP="006E2DD5">
      <w:pPr>
        <w:tabs>
          <w:tab w:val="left" w:pos="4830"/>
        </w:tabs>
        <w:ind w:firstLine="851"/>
        <w:jc w:val="both"/>
        <w:rPr>
          <w:rFonts w:ascii="Arial" w:hAnsi="Arial" w:cs="Arial"/>
          <w:sz w:val="24"/>
          <w:szCs w:val="24"/>
        </w:rPr>
      </w:pPr>
      <w:r w:rsidRPr="00280EA9">
        <w:rPr>
          <w:rFonts w:ascii="Arial" w:hAnsi="Arial" w:cs="Arial"/>
          <w:sz w:val="24"/>
          <w:szCs w:val="24"/>
        </w:rPr>
        <w:t xml:space="preserve">Examinando-se as </w:t>
      </w:r>
      <w:r>
        <w:rPr>
          <w:rFonts w:ascii="Arial" w:hAnsi="Arial" w:cs="Arial"/>
          <w:sz w:val="24"/>
          <w:szCs w:val="24"/>
        </w:rPr>
        <w:t>opostas interpretações a respeito do artigo 1.829, inciso I, do Código Civil, é perceptív</w:t>
      </w:r>
      <w:r w:rsidR="000D72BD">
        <w:rPr>
          <w:rFonts w:ascii="Arial" w:hAnsi="Arial" w:cs="Arial"/>
          <w:sz w:val="24"/>
          <w:szCs w:val="24"/>
        </w:rPr>
        <w:t>el os fortes argumentos de ambos os posicionamentos</w:t>
      </w:r>
      <w:r>
        <w:rPr>
          <w:rFonts w:ascii="Arial" w:hAnsi="Arial" w:cs="Arial"/>
          <w:sz w:val="24"/>
          <w:szCs w:val="24"/>
        </w:rPr>
        <w:t xml:space="preserve">. A doutrina </w:t>
      </w:r>
      <w:r w:rsidR="000D72BD">
        <w:rPr>
          <w:rFonts w:ascii="Arial" w:hAnsi="Arial" w:cs="Arial"/>
          <w:sz w:val="24"/>
          <w:szCs w:val="24"/>
        </w:rPr>
        <w:t xml:space="preserve">defendida no REsp </w:t>
      </w:r>
      <w:r w:rsidR="000D72BD" w:rsidRPr="004D3295">
        <w:rPr>
          <w:rFonts w:ascii="Arial" w:hAnsi="Arial" w:cs="Arial"/>
          <w:sz w:val="24"/>
          <w:szCs w:val="24"/>
        </w:rPr>
        <w:t>1.382.170/SP</w:t>
      </w:r>
      <w:r w:rsidR="000D72BD">
        <w:rPr>
          <w:rFonts w:ascii="Arial" w:hAnsi="Arial" w:cs="Arial"/>
          <w:sz w:val="24"/>
          <w:szCs w:val="24"/>
        </w:rPr>
        <w:t xml:space="preserve">, </w:t>
      </w:r>
      <w:r>
        <w:rPr>
          <w:rFonts w:ascii="Arial" w:hAnsi="Arial" w:cs="Arial"/>
          <w:sz w:val="24"/>
          <w:szCs w:val="24"/>
        </w:rPr>
        <w:t xml:space="preserve">por um lado correta em defender a literalidade da norma – no sentido de que </w:t>
      </w:r>
      <w:r w:rsidR="00B20B6D">
        <w:rPr>
          <w:rFonts w:ascii="Arial" w:hAnsi="Arial" w:cs="Arial"/>
          <w:sz w:val="24"/>
          <w:szCs w:val="24"/>
        </w:rPr>
        <w:t xml:space="preserve">a exceção à concorrência sobre a herança do falecido diz respeito apenas </w:t>
      </w:r>
      <w:r>
        <w:rPr>
          <w:rFonts w:ascii="Arial" w:hAnsi="Arial" w:cs="Arial"/>
          <w:sz w:val="24"/>
          <w:szCs w:val="24"/>
        </w:rPr>
        <w:t>ao regime de separação legal de bens –</w:t>
      </w:r>
      <w:r w:rsidR="00B20B6D">
        <w:rPr>
          <w:rFonts w:ascii="Arial" w:hAnsi="Arial" w:cs="Arial"/>
          <w:sz w:val="24"/>
          <w:szCs w:val="24"/>
        </w:rPr>
        <w:t xml:space="preserve"> uma vez que o dispositivo fala em “separação obrigatória”, ou seja, “legal” –, </w:t>
      </w:r>
      <w:r w:rsidR="000D72BD">
        <w:rPr>
          <w:rFonts w:ascii="Arial" w:hAnsi="Arial" w:cs="Arial"/>
          <w:sz w:val="24"/>
          <w:szCs w:val="24"/>
        </w:rPr>
        <w:t>peca ao</w:t>
      </w:r>
      <w:r>
        <w:rPr>
          <w:rFonts w:ascii="Arial" w:hAnsi="Arial" w:cs="Arial"/>
          <w:sz w:val="24"/>
          <w:szCs w:val="24"/>
        </w:rPr>
        <w:t xml:space="preserve"> ignorar as consequências pr</w:t>
      </w:r>
      <w:r w:rsidR="00B20B6D">
        <w:rPr>
          <w:rFonts w:ascii="Arial" w:hAnsi="Arial" w:cs="Arial"/>
          <w:sz w:val="24"/>
          <w:szCs w:val="24"/>
        </w:rPr>
        <w:t>áticas desse entendimento ao defender uma absoluta independência entre os institu</w:t>
      </w:r>
      <w:r w:rsidR="00652ABE">
        <w:rPr>
          <w:rFonts w:ascii="Arial" w:hAnsi="Arial" w:cs="Arial"/>
          <w:sz w:val="24"/>
          <w:szCs w:val="24"/>
        </w:rPr>
        <w:t>t</w:t>
      </w:r>
      <w:r w:rsidR="00B20B6D">
        <w:rPr>
          <w:rFonts w:ascii="Arial" w:hAnsi="Arial" w:cs="Arial"/>
          <w:sz w:val="24"/>
          <w:szCs w:val="24"/>
        </w:rPr>
        <w:t xml:space="preserve">os do regime matrimonial de bens e da sucessão, </w:t>
      </w:r>
      <w:r>
        <w:rPr>
          <w:rFonts w:ascii="Arial" w:hAnsi="Arial" w:cs="Arial"/>
          <w:sz w:val="24"/>
          <w:szCs w:val="24"/>
        </w:rPr>
        <w:t xml:space="preserve">suplantando a vontade conjunta dos consortes, declarada em vida, de manter a indissociabilidade de seus patrimônios. </w:t>
      </w:r>
    </w:p>
    <w:p w:rsidR="000D72BD" w:rsidRDefault="000D72BD" w:rsidP="006E2DD5">
      <w:pPr>
        <w:tabs>
          <w:tab w:val="left" w:pos="4830"/>
        </w:tabs>
        <w:ind w:firstLine="851"/>
        <w:jc w:val="both"/>
        <w:rPr>
          <w:rFonts w:ascii="Arial" w:hAnsi="Arial" w:cs="Arial"/>
          <w:sz w:val="24"/>
          <w:szCs w:val="24"/>
        </w:rPr>
      </w:pPr>
      <w:r>
        <w:rPr>
          <w:rFonts w:ascii="Arial" w:hAnsi="Arial" w:cs="Arial"/>
          <w:sz w:val="24"/>
          <w:szCs w:val="24"/>
        </w:rPr>
        <w:t>A</w:t>
      </w:r>
      <w:r w:rsidR="00280EA9">
        <w:rPr>
          <w:rFonts w:ascii="Arial" w:hAnsi="Arial" w:cs="Arial"/>
          <w:sz w:val="24"/>
          <w:szCs w:val="24"/>
        </w:rPr>
        <w:t xml:space="preserve"> doutrina </w:t>
      </w:r>
      <w:r w:rsidR="00580859">
        <w:rPr>
          <w:rFonts w:ascii="Arial" w:hAnsi="Arial" w:cs="Arial"/>
          <w:sz w:val="24"/>
          <w:szCs w:val="24"/>
        </w:rPr>
        <w:t>defendida por Miguel Reale</w:t>
      </w:r>
      <w:r>
        <w:rPr>
          <w:rFonts w:ascii="Arial" w:hAnsi="Arial" w:cs="Arial"/>
          <w:sz w:val="24"/>
          <w:szCs w:val="24"/>
        </w:rPr>
        <w:t>, por sua vez, equivoca-se ao entender que o adjetivo “obrigatória” constante na exceção da norma (atine à concorrência sobre a herança) refere-se ao caráter cogente do regime de bens, uma vez que a própria lei, no artigo 1.641, define a separação legal como “obrigatória”. No entanto, no aspecto material, vale dizer, sob o ponto de</w:t>
      </w:r>
      <w:r w:rsidR="00580859">
        <w:rPr>
          <w:rFonts w:ascii="Arial" w:hAnsi="Arial" w:cs="Arial"/>
          <w:sz w:val="24"/>
          <w:szCs w:val="24"/>
        </w:rPr>
        <w:t xml:space="preserve"> vista prático, a compreensão</w:t>
      </w:r>
      <w:r>
        <w:rPr>
          <w:rFonts w:ascii="Arial" w:hAnsi="Arial" w:cs="Arial"/>
          <w:sz w:val="24"/>
          <w:szCs w:val="24"/>
        </w:rPr>
        <w:t xml:space="preserve"> de que o direito das sucessões não pode se sobrepor à vontade do cônjuge declarada em vida no pacto antenupcial, é coerente. </w:t>
      </w:r>
    </w:p>
    <w:p w:rsidR="00643198" w:rsidRDefault="00643198" w:rsidP="00D468B7">
      <w:pPr>
        <w:tabs>
          <w:tab w:val="left" w:pos="4830"/>
        </w:tabs>
        <w:ind w:firstLine="851"/>
        <w:jc w:val="both"/>
        <w:rPr>
          <w:rFonts w:ascii="Arial" w:hAnsi="Arial" w:cs="Arial"/>
          <w:sz w:val="24"/>
          <w:szCs w:val="24"/>
        </w:rPr>
      </w:pPr>
      <w:r>
        <w:rPr>
          <w:rFonts w:ascii="Arial" w:hAnsi="Arial" w:cs="Arial"/>
          <w:sz w:val="24"/>
          <w:szCs w:val="24"/>
        </w:rPr>
        <w:t xml:space="preserve">Isso porque, conforme visto, é comum que muitos casamentos celebrados sob o regime de separação convencional de bens – tal como aquele analisado no REsp </w:t>
      </w:r>
      <w:r>
        <w:rPr>
          <w:rFonts w:ascii="Arial" w:hAnsi="Arial" w:cs="Arial"/>
          <w:sz w:val="24"/>
          <w:szCs w:val="24"/>
        </w:rPr>
        <w:lastRenderedPageBreak/>
        <w:t xml:space="preserve">nº </w:t>
      </w:r>
      <w:r w:rsidRPr="00424ADC">
        <w:rPr>
          <w:rFonts w:ascii="Arial" w:hAnsi="Arial" w:cs="Arial"/>
          <w:sz w:val="24"/>
          <w:szCs w:val="24"/>
        </w:rPr>
        <w:t>992.749/MS</w:t>
      </w:r>
      <w:r>
        <w:rPr>
          <w:rFonts w:ascii="Arial" w:hAnsi="Arial" w:cs="Arial"/>
          <w:sz w:val="24"/>
          <w:szCs w:val="24"/>
        </w:rPr>
        <w:t xml:space="preserve"> –, se radicam, justamente, no desejo em não dividir os bens em vida e, tampouco, após a morte</w:t>
      </w:r>
      <w:r w:rsidR="003C0776">
        <w:rPr>
          <w:rFonts w:ascii="Arial" w:hAnsi="Arial" w:cs="Arial"/>
          <w:sz w:val="24"/>
          <w:szCs w:val="24"/>
        </w:rPr>
        <w:t>.</w:t>
      </w:r>
      <w:r>
        <w:rPr>
          <w:rFonts w:ascii="Arial" w:hAnsi="Arial" w:cs="Arial"/>
          <w:sz w:val="24"/>
          <w:szCs w:val="24"/>
        </w:rPr>
        <w:t xml:space="preserve"> </w:t>
      </w:r>
    </w:p>
    <w:p w:rsidR="00643198" w:rsidRDefault="00643198" w:rsidP="00D468B7">
      <w:pPr>
        <w:ind w:firstLine="851"/>
        <w:jc w:val="both"/>
        <w:rPr>
          <w:rFonts w:ascii="Arial" w:hAnsi="Arial" w:cs="Arial"/>
          <w:sz w:val="24"/>
          <w:szCs w:val="24"/>
        </w:rPr>
      </w:pPr>
      <w:r>
        <w:rPr>
          <w:rFonts w:ascii="Arial" w:hAnsi="Arial" w:cs="Arial"/>
          <w:sz w:val="24"/>
          <w:szCs w:val="24"/>
        </w:rPr>
        <w:t xml:space="preserve">No entanto, considerando que </w:t>
      </w:r>
      <w:r w:rsidR="002155AC" w:rsidRPr="002155AC">
        <w:rPr>
          <w:rFonts w:ascii="Arial" w:hAnsi="Arial" w:cs="Arial"/>
          <w:i/>
          <w:sz w:val="24"/>
          <w:szCs w:val="24"/>
        </w:rPr>
        <w:t>a)</w:t>
      </w:r>
      <w:r w:rsidR="002155AC">
        <w:rPr>
          <w:rFonts w:ascii="Arial" w:hAnsi="Arial" w:cs="Arial"/>
          <w:sz w:val="24"/>
          <w:szCs w:val="24"/>
        </w:rPr>
        <w:t xml:space="preserve"> </w:t>
      </w:r>
      <w:r>
        <w:rPr>
          <w:rFonts w:ascii="Arial" w:hAnsi="Arial" w:cs="Arial"/>
          <w:sz w:val="24"/>
          <w:szCs w:val="24"/>
        </w:rPr>
        <w:t>tal situação não é regra, uma vez que há casais que optam pelo regime da separação convencional de bens somente em razão da facilidade da administração dos bens</w:t>
      </w:r>
      <w:r w:rsidR="002155AC">
        <w:rPr>
          <w:rFonts w:ascii="Arial" w:hAnsi="Arial" w:cs="Arial"/>
          <w:sz w:val="24"/>
          <w:szCs w:val="24"/>
        </w:rPr>
        <w:t xml:space="preserve">; </w:t>
      </w:r>
      <w:r w:rsidR="002155AC" w:rsidRPr="002155AC">
        <w:rPr>
          <w:rFonts w:ascii="Arial" w:hAnsi="Arial" w:cs="Arial"/>
          <w:i/>
          <w:sz w:val="24"/>
          <w:szCs w:val="24"/>
        </w:rPr>
        <w:t>b)</w:t>
      </w:r>
      <w:r>
        <w:rPr>
          <w:rFonts w:ascii="Arial" w:hAnsi="Arial" w:cs="Arial"/>
          <w:sz w:val="24"/>
          <w:szCs w:val="24"/>
        </w:rPr>
        <w:t xml:space="preserve"> que </w:t>
      </w:r>
      <w:r w:rsidR="008B0FE4">
        <w:rPr>
          <w:rFonts w:ascii="Arial" w:hAnsi="Arial" w:cs="Arial"/>
          <w:sz w:val="24"/>
          <w:szCs w:val="24"/>
        </w:rPr>
        <w:t>o Código Civil de 2002 pretendeu privilegiar o direito sucessório do viúvo</w:t>
      </w:r>
      <w:r w:rsidR="002155AC">
        <w:rPr>
          <w:rFonts w:ascii="Arial" w:hAnsi="Arial" w:cs="Arial"/>
          <w:sz w:val="24"/>
          <w:szCs w:val="24"/>
        </w:rPr>
        <w:t xml:space="preserve">; e que </w:t>
      </w:r>
      <w:r w:rsidR="002155AC" w:rsidRPr="002155AC">
        <w:rPr>
          <w:rFonts w:ascii="Arial" w:hAnsi="Arial" w:cs="Arial"/>
          <w:i/>
          <w:sz w:val="24"/>
          <w:szCs w:val="24"/>
        </w:rPr>
        <w:t>c)</w:t>
      </w:r>
      <w:r w:rsidR="002155AC">
        <w:rPr>
          <w:rFonts w:ascii="Arial" w:hAnsi="Arial" w:cs="Arial"/>
          <w:sz w:val="24"/>
          <w:szCs w:val="24"/>
        </w:rPr>
        <w:t xml:space="preserve"> a norma apresenta erro material (ao elencar entre parênteses o artigo 1.640, parágrafo único, do Código Civil), cogente se faz uma alteração legislativa, a fim de proteger o intento da lei e, paralelamente, a vontade dos consortes declarada em vida.</w:t>
      </w:r>
    </w:p>
    <w:p w:rsidR="00673461" w:rsidRDefault="002155AC" w:rsidP="006E2DD5">
      <w:pPr>
        <w:tabs>
          <w:tab w:val="left" w:pos="4830"/>
        </w:tabs>
        <w:ind w:firstLine="851"/>
        <w:jc w:val="both"/>
        <w:rPr>
          <w:rFonts w:ascii="Arial" w:hAnsi="Arial" w:cs="Arial"/>
          <w:sz w:val="24"/>
          <w:szCs w:val="24"/>
        </w:rPr>
      </w:pPr>
      <w:r>
        <w:rPr>
          <w:rFonts w:ascii="Arial" w:hAnsi="Arial" w:cs="Arial"/>
          <w:sz w:val="24"/>
          <w:szCs w:val="24"/>
        </w:rPr>
        <w:t>Nesse sentido, a melhor solução para o embate doutrinário seria</w:t>
      </w:r>
      <w:r w:rsidR="00B25EA9">
        <w:rPr>
          <w:rFonts w:ascii="Arial" w:hAnsi="Arial" w:cs="Arial"/>
          <w:sz w:val="24"/>
          <w:szCs w:val="24"/>
        </w:rPr>
        <w:t xml:space="preserve"> </w:t>
      </w:r>
      <w:r w:rsidR="00EB510D">
        <w:rPr>
          <w:rFonts w:ascii="Arial" w:hAnsi="Arial" w:cs="Arial"/>
          <w:sz w:val="24"/>
          <w:szCs w:val="24"/>
        </w:rPr>
        <w:t xml:space="preserve">a alteração legislativa do art. 1.829, inc. </w:t>
      </w:r>
      <w:r w:rsidR="00700E94">
        <w:rPr>
          <w:rFonts w:ascii="Arial" w:hAnsi="Arial" w:cs="Arial"/>
          <w:sz w:val="24"/>
          <w:szCs w:val="24"/>
        </w:rPr>
        <w:t xml:space="preserve">I, suprimindo o adjetivo “obrigatória” </w:t>
      </w:r>
      <w:r w:rsidR="00EB510D">
        <w:rPr>
          <w:rFonts w:ascii="Arial" w:hAnsi="Arial" w:cs="Arial"/>
          <w:sz w:val="24"/>
          <w:szCs w:val="24"/>
        </w:rPr>
        <w:t>e, também</w:t>
      </w:r>
      <w:r w:rsidR="00700E94">
        <w:rPr>
          <w:rFonts w:ascii="Arial" w:hAnsi="Arial" w:cs="Arial"/>
          <w:sz w:val="24"/>
          <w:szCs w:val="24"/>
        </w:rPr>
        <w:t>, a errônea remissão ao artigo 1.640, parágrafo único, entre parênteses, ou, ainda, a modificação</w:t>
      </w:r>
      <w:r w:rsidR="00EB510D">
        <w:rPr>
          <w:rFonts w:ascii="Arial" w:hAnsi="Arial" w:cs="Arial"/>
          <w:sz w:val="24"/>
          <w:szCs w:val="24"/>
        </w:rPr>
        <w:t xml:space="preserve"> do art. 426, do Código Civil, a fim de </w:t>
      </w:r>
      <w:r w:rsidR="00D468B7">
        <w:rPr>
          <w:rFonts w:ascii="Arial" w:hAnsi="Arial" w:cs="Arial"/>
          <w:sz w:val="24"/>
          <w:szCs w:val="24"/>
        </w:rPr>
        <w:t xml:space="preserve">considerar, expressamente, </w:t>
      </w:r>
      <w:r w:rsidR="007A4ABB">
        <w:rPr>
          <w:rFonts w:ascii="Arial" w:hAnsi="Arial" w:cs="Arial"/>
          <w:sz w:val="24"/>
          <w:szCs w:val="24"/>
        </w:rPr>
        <w:t>a validade d</w:t>
      </w:r>
      <w:r w:rsidR="00B25EA9">
        <w:rPr>
          <w:rFonts w:ascii="Arial" w:hAnsi="Arial" w:cs="Arial"/>
          <w:sz w:val="24"/>
          <w:szCs w:val="24"/>
        </w:rPr>
        <w:t>a formulação, no pacto antenupcial, de cláusula de exclusão do c</w:t>
      </w:r>
      <w:r w:rsidR="00D468B7">
        <w:rPr>
          <w:rFonts w:ascii="Arial" w:hAnsi="Arial" w:cs="Arial"/>
          <w:sz w:val="24"/>
          <w:szCs w:val="24"/>
        </w:rPr>
        <w:t>ônjuge como herdeiro necessário. Tal alteração simbolizaria</w:t>
      </w:r>
      <w:r w:rsidR="00B25EA9">
        <w:rPr>
          <w:rFonts w:ascii="Arial" w:hAnsi="Arial" w:cs="Arial"/>
          <w:sz w:val="24"/>
          <w:szCs w:val="24"/>
        </w:rPr>
        <w:t xml:space="preserve"> </w:t>
      </w:r>
      <w:r w:rsidR="00D468B7">
        <w:rPr>
          <w:rFonts w:ascii="Arial" w:hAnsi="Arial" w:cs="Arial"/>
          <w:sz w:val="24"/>
          <w:szCs w:val="24"/>
        </w:rPr>
        <w:t xml:space="preserve">um grande avanço no âmbito do direito de família e sucessões, uma vez que privilegiaria </w:t>
      </w:r>
      <w:r w:rsidR="00B25EA9">
        <w:rPr>
          <w:rFonts w:ascii="Arial" w:hAnsi="Arial" w:cs="Arial"/>
          <w:sz w:val="24"/>
          <w:szCs w:val="24"/>
        </w:rPr>
        <w:t>a</w:t>
      </w:r>
      <w:r w:rsidR="00D468B7">
        <w:rPr>
          <w:rFonts w:ascii="Arial" w:hAnsi="Arial" w:cs="Arial"/>
          <w:sz w:val="24"/>
          <w:szCs w:val="24"/>
        </w:rPr>
        <w:t xml:space="preserve"> liberdade e a</w:t>
      </w:r>
      <w:r w:rsidR="00B25EA9">
        <w:rPr>
          <w:rFonts w:ascii="Arial" w:hAnsi="Arial" w:cs="Arial"/>
          <w:sz w:val="24"/>
          <w:szCs w:val="24"/>
        </w:rPr>
        <w:t xml:space="preserve"> vontade declarada </w:t>
      </w:r>
      <w:r w:rsidR="00D468B7">
        <w:rPr>
          <w:rFonts w:ascii="Arial" w:hAnsi="Arial" w:cs="Arial"/>
          <w:sz w:val="24"/>
          <w:szCs w:val="24"/>
        </w:rPr>
        <w:t xml:space="preserve">pelos consortes </w:t>
      </w:r>
      <w:r w:rsidR="00B25EA9">
        <w:rPr>
          <w:rFonts w:ascii="Arial" w:hAnsi="Arial" w:cs="Arial"/>
          <w:sz w:val="24"/>
          <w:szCs w:val="24"/>
        </w:rPr>
        <w:t>na estipulação</w:t>
      </w:r>
      <w:r w:rsidR="00D468B7">
        <w:rPr>
          <w:rFonts w:ascii="Arial" w:hAnsi="Arial" w:cs="Arial"/>
          <w:sz w:val="24"/>
          <w:szCs w:val="24"/>
        </w:rPr>
        <w:t xml:space="preserve"> do regime matri</w:t>
      </w:r>
      <w:r w:rsidR="00982E4D">
        <w:rPr>
          <w:rFonts w:ascii="Arial" w:hAnsi="Arial" w:cs="Arial"/>
          <w:sz w:val="24"/>
          <w:szCs w:val="24"/>
        </w:rPr>
        <w:t>monial de bens, representando a valorização da autodeterminação.</w:t>
      </w:r>
    </w:p>
    <w:p w:rsidR="004F31B4" w:rsidRDefault="004F31B4"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4E46E8" w:rsidRDefault="004E46E8" w:rsidP="0027587F">
      <w:pPr>
        <w:tabs>
          <w:tab w:val="left" w:pos="4830"/>
        </w:tabs>
        <w:jc w:val="both"/>
        <w:rPr>
          <w:rFonts w:ascii="Arial" w:hAnsi="Arial" w:cs="Arial"/>
          <w:b/>
          <w:sz w:val="24"/>
          <w:szCs w:val="24"/>
        </w:rPr>
      </w:pPr>
    </w:p>
    <w:p w:rsidR="009A12FA" w:rsidRDefault="009A12FA" w:rsidP="0027587F">
      <w:pPr>
        <w:tabs>
          <w:tab w:val="left" w:pos="4830"/>
        </w:tabs>
        <w:jc w:val="both"/>
        <w:rPr>
          <w:rFonts w:ascii="Arial" w:hAnsi="Arial" w:cs="Arial"/>
          <w:b/>
          <w:sz w:val="24"/>
          <w:szCs w:val="24"/>
        </w:rPr>
      </w:pPr>
    </w:p>
    <w:p w:rsidR="005546E1" w:rsidRDefault="005546E1" w:rsidP="0027587F">
      <w:pPr>
        <w:tabs>
          <w:tab w:val="left" w:pos="4830"/>
        </w:tabs>
        <w:jc w:val="both"/>
        <w:rPr>
          <w:rFonts w:ascii="Arial" w:hAnsi="Arial" w:cs="Arial"/>
          <w:b/>
          <w:sz w:val="24"/>
          <w:szCs w:val="24"/>
        </w:rPr>
      </w:pPr>
    </w:p>
    <w:p w:rsidR="0027587F" w:rsidRDefault="006C6687" w:rsidP="0027587F">
      <w:pPr>
        <w:tabs>
          <w:tab w:val="left" w:pos="4830"/>
        </w:tabs>
        <w:jc w:val="both"/>
        <w:rPr>
          <w:rFonts w:ascii="Arial" w:hAnsi="Arial" w:cs="Arial"/>
          <w:b/>
          <w:sz w:val="24"/>
          <w:szCs w:val="24"/>
        </w:rPr>
      </w:pPr>
      <w:r>
        <w:rPr>
          <w:rFonts w:ascii="Arial" w:hAnsi="Arial" w:cs="Arial"/>
          <w:b/>
          <w:sz w:val="24"/>
          <w:szCs w:val="24"/>
        </w:rPr>
        <w:lastRenderedPageBreak/>
        <w:t>11</w:t>
      </w:r>
      <w:r w:rsidR="00B348D0" w:rsidRPr="00B348D0">
        <w:rPr>
          <w:rFonts w:ascii="Arial" w:hAnsi="Arial" w:cs="Arial"/>
          <w:b/>
          <w:sz w:val="24"/>
          <w:szCs w:val="24"/>
        </w:rPr>
        <w:t xml:space="preserve"> REFERÊNCIAS BIBLIOGR</w:t>
      </w:r>
      <w:r w:rsidR="00B348D0">
        <w:rPr>
          <w:rFonts w:ascii="Arial" w:hAnsi="Arial" w:cs="Arial"/>
          <w:b/>
          <w:sz w:val="24"/>
          <w:szCs w:val="24"/>
        </w:rPr>
        <w:t>ÁFICAS</w:t>
      </w:r>
    </w:p>
    <w:p w:rsidR="00D80A1D" w:rsidRPr="004D3295" w:rsidRDefault="00D80A1D" w:rsidP="0087740E">
      <w:pPr>
        <w:autoSpaceDE w:val="0"/>
        <w:autoSpaceDN w:val="0"/>
        <w:adjustRightInd w:val="0"/>
        <w:spacing w:line="240" w:lineRule="auto"/>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AMORIM, Sebastião; OLIVEIRA, Euclides de</w:t>
      </w:r>
      <w:r w:rsidRPr="004D3295">
        <w:rPr>
          <w:rFonts w:ascii="Arial" w:hAnsi="Arial" w:cs="Arial"/>
          <w:b/>
          <w:sz w:val="24"/>
          <w:szCs w:val="24"/>
        </w:rPr>
        <w:t>. Inventários e Partilhas, Direito das Sucessões, Teoria e Prática.</w:t>
      </w:r>
      <w:r w:rsidRPr="004D3295">
        <w:rPr>
          <w:rFonts w:ascii="Arial" w:hAnsi="Arial" w:cs="Arial"/>
          <w:sz w:val="24"/>
          <w:szCs w:val="24"/>
        </w:rPr>
        <w:t xml:space="preserve"> 15ª ed. São Paulo: Leud, 2003</w:t>
      </w:r>
      <w:r>
        <w:rPr>
          <w:rFonts w:ascii="Arial" w:hAnsi="Arial" w:cs="Arial"/>
          <w:sz w:val="24"/>
          <w:szCs w:val="24"/>
        </w:rPr>
        <w:t>.</w:t>
      </w:r>
    </w:p>
    <w:p w:rsidR="00D80A1D" w:rsidRPr="004D3295" w:rsidRDefault="00D80A1D"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ASCENSÃO, José de Oliveira. </w:t>
      </w:r>
      <w:r w:rsidRPr="004D3295">
        <w:rPr>
          <w:rFonts w:ascii="Arial" w:hAnsi="Arial" w:cs="Arial"/>
          <w:b/>
          <w:sz w:val="24"/>
          <w:szCs w:val="24"/>
        </w:rPr>
        <w:t>Direito Civil – Sucessões</w:t>
      </w:r>
      <w:r w:rsidRPr="004D3295">
        <w:rPr>
          <w:rFonts w:ascii="Arial" w:hAnsi="Arial" w:cs="Arial"/>
          <w:sz w:val="24"/>
          <w:szCs w:val="24"/>
        </w:rPr>
        <w:t>. 5 ed.,</w:t>
      </w:r>
      <w:r>
        <w:rPr>
          <w:rFonts w:ascii="Arial" w:hAnsi="Arial" w:cs="Arial"/>
          <w:sz w:val="24"/>
          <w:szCs w:val="24"/>
        </w:rPr>
        <w:t xml:space="preserve"> rev. Coimbra: Coimbra.</w:t>
      </w:r>
    </w:p>
    <w:p w:rsidR="00D80A1D" w:rsidRPr="004D3295" w:rsidRDefault="00D80A1D" w:rsidP="006A5FC0">
      <w:pPr>
        <w:tabs>
          <w:tab w:val="left" w:pos="4830"/>
        </w:tabs>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AZEVEDO, Maria Vicente de. </w:t>
      </w:r>
      <w:r w:rsidRPr="004D3295">
        <w:rPr>
          <w:rFonts w:ascii="Arial" w:hAnsi="Arial" w:cs="Arial"/>
          <w:b/>
          <w:sz w:val="24"/>
          <w:szCs w:val="24"/>
        </w:rPr>
        <w:t>Jornal “Tribuna do Direito”</w:t>
      </w:r>
      <w:r>
        <w:rPr>
          <w:rFonts w:ascii="Arial" w:hAnsi="Arial" w:cs="Arial"/>
          <w:sz w:val="24"/>
          <w:szCs w:val="24"/>
        </w:rPr>
        <w:t>. Nov. 2003.</w:t>
      </w:r>
    </w:p>
    <w:p w:rsidR="00D80A1D" w:rsidRPr="004D3295" w:rsidRDefault="00D80A1D"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BARROSO, Luís Roberto. </w:t>
      </w:r>
      <w:r w:rsidRPr="004D3295">
        <w:rPr>
          <w:rFonts w:ascii="Arial" w:hAnsi="Arial" w:cs="Arial"/>
          <w:b/>
          <w:sz w:val="24"/>
          <w:szCs w:val="24"/>
        </w:rPr>
        <w:t>Saber jurídico convencional, teoria crítica do direito e direito alternativo. A síntese necessária</w:t>
      </w:r>
      <w:r w:rsidRPr="004D3295">
        <w:rPr>
          <w:rFonts w:ascii="Arial" w:hAnsi="Arial" w:cs="Arial"/>
          <w:sz w:val="24"/>
          <w:szCs w:val="24"/>
        </w:rPr>
        <w:t>. In: Interpretação e aplicação na constituição. São Paulo: Saraiva, 1996</w:t>
      </w:r>
      <w:r>
        <w:rPr>
          <w:rFonts w:ascii="Arial" w:hAnsi="Arial" w:cs="Arial"/>
          <w:sz w:val="24"/>
          <w:szCs w:val="24"/>
        </w:rPr>
        <w:t>.</w:t>
      </w:r>
    </w:p>
    <w:p w:rsidR="00D80A1D" w:rsidRPr="004D3295" w:rsidRDefault="00D80A1D" w:rsidP="006A5FC0">
      <w:pPr>
        <w:tabs>
          <w:tab w:val="left" w:pos="4830"/>
        </w:tabs>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BERENICE DIAS, Maria.</w:t>
      </w:r>
      <w:r w:rsidRPr="004D3295">
        <w:rPr>
          <w:rFonts w:ascii="Arial" w:hAnsi="Arial" w:cs="Arial"/>
          <w:b/>
          <w:sz w:val="24"/>
          <w:szCs w:val="24"/>
        </w:rPr>
        <w:t xml:space="preserve"> Filhos, bens e amor não combinam! ou A concorrência sucessória</w:t>
      </w:r>
      <w:r w:rsidRPr="004D3295">
        <w:rPr>
          <w:rFonts w:ascii="Arial" w:hAnsi="Arial" w:cs="Arial"/>
          <w:sz w:val="24"/>
          <w:szCs w:val="24"/>
        </w:rPr>
        <w:t xml:space="preserve">. Disponível em </w:t>
      </w:r>
      <w:r w:rsidRPr="00D80A1D">
        <w:rPr>
          <w:rFonts w:ascii="Arial" w:hAnsi="Arial" w:cs="Arial"/>
          <w:color w:val="000000" w:themeColor="text1"/>
          <w:sz w:val="24"/>
          <w:szCs w:val="24"/>
        </w:rPr>
        <w:t>&lt;</w:t>
      </w:r>
      <w:hyperlink r:id="rId11" w:history="1">
        <w:r w:rsidRPr="00D80A1D">
          <w:rPr>
            <w:rStyle w:val="Hyperlink"/>
            <w:rFonts w:ascii="Arial" w:hAnsi="Arial" w:cs="Arial"/>
            <w:color w:val="000000" w:themeColor="text1"/>
            <w:sz w:val="24"/>
            <w:szCs w:val="24"/>
            <w:u w:val="none"/>
          </w:rPr>
          <w:t>http://mariaberenice.com.br/uploads/3_filhos_bens_e_amor_n%E3o_combinam.pdf</w:t>
        </w:r>
      </w:hyperlink>
      <w:r w:rsidRPr="00D80A1D">
        <w:rPr>
          <w:rFonts w:ascii="Arial" w:hAnsi="Arial" w:cs="Arial"/>
          <w:color w:val="000000" w:themeColor="text1"/>
          <w:sz w:val="24"/>
          <w:szCs w:val="24"/>
        </w:rPr>
        <w:t xml:space="preserve">&gt;; </w:t>
      </w:r>
      <w:r w:rsidRPr="004D3295">
        <w:rPr>
          <w:rFonts w:ascii="Arial" w:hAnsi="Arial" w:cs="Arial"/>
          <w:sz w:val="24"/>
          <w:szCs w:val="24"/>
        </w:rPr>
        <w:t>A</w:t>
      </w:r>
      <w:r>
        <w:rPr>
          <w:rFonts w:ascii="Arial" w:hAnsi="Arial" w:cs="Arial"/>
          <w:sz w:val="24"/>
          <w:szCs w:val="24"/>
        </w:rPr>
        <w:t>cesso em: 20 de outubro de 2019</w:t>
      </w:r>
      <w:r w:rsidRPr="004D3295">
        <w:rPr>
          <w:rFonts w:ascii="Arial" w:hAnsi="Arial" w:cs="Arial"/>
          <w:sz w:val="24"/>
          <w:szCs w:val="24"/>
        </w:rPr>
        <w:t>.</w:t>
      </w:r>
    </w:p>
    <w:p w:rsidR="00D80A1D" w:rsidRPr="004D3295" w:rsidRDefault="00D80A1D" w:rsidP="006A5FC0">
      <w:pPr>
        <w:pStyle w:val="Textodenotaderodap"/>
        <w:spacing w:line="360" w:lineRule="auto"/>
        <w:jc w:val="both"/>
        <w:rPr>
          <w:rFonts w:ascii="Arial" w:hAnsi="Arial" w:cs="Arial"/>
          <w:sz w:val="24"/>
          <w:szCs w:val="24"/>
        </w:rPr>
      </w:pPr>
    </w:p>
    <w:p w:rsidR="00D80A1D" w:rsidRDefault="006A5FC0" w:rsidP="006A5FC0">
      <w:pPr>
        <w:pStyle w:val="Textodenotaderodap"/>
        <w:spacing w:line="360" w:lineRule="auto"/>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Manual de direito das famílias</w:t>
      </w:r>
      <w:r w:rsidR="00D80A1D" w:rsidRPr="004D3295">
        <w:rPr>
          <w:rFonts w:ascii="Arial" w:hAnsi="Arial" w:cs="Arial"/>
          <w:sz w:val="24"/>
          <w:szCs w:val="24"/>
        </w:rPr>
        <w:t xml:space="preserve">. 4ª ed. São Paulo: Revista </w:t>
      </w:r>
      <w:r w:rsidR="00D80A1D">
        <w:rPr>
          <w:rFonts w:ascii="Arial" w:hAnsi="Arial" w:cs="Arial"/>
          <w:sz w:val="24"/>
          <w:szCs w:val="24"/>
        </w:rPr>
        <w:t>dos Tribunais, 2007.</w:t>
      </w:r>
    </w:p>
    <w:p w:rsidR="00D80A1D" w:rsidRPr="004D3295" w:rsidRDefault="00D80A1D" w:rsidP="006A5FC0">
      <w:pPr>
        <w:pStyle w:val="Textodenotaderodap"/>
        <w:spacing w:line="360" w:lineRule="auto"/>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BEVILACQUA, Clóvis. </w:t>
      </w:r>
      <w:r w:rsidRPr="004D3295">
        <w:rPr>
          <w:rFonts w:ascii="Arial" w:hAnsi="Arial" w:cs="Arial"/>
          <w:b/>
          <w:sz w:val="24"/>
          <w:szCs w:val="24"/>
        </w:rPr>
        <w:t>Direito das Sucessões</w:t>
      </w:r>
      <w:r w:rsidRPr="004D3295">
        <w:rPr>
          <w:rFonts w:ascii="Arial" w:hAnsi="Arial" w:cs="Arial"/>
          <w:sz w:val="24"/>
          <w:szCs w:val="24"/>
        </w:rPr>
        <w:t>. 4ª ed. Rio de Janeiro: Paulo de Azeredo, 1945.</w:t>
      </w:r>
    </w:p>
    <w:p w:rsidR="00362924" w:rsidRPr="00362924" w:rsidRDefault="00362924" w:rsidP="006A5FC0">
      <w:pPr>
        <w:pStyle w:val="Textodenotaderodap"/>
        <w:spacing w:line="360" w:lineRule="auto"/>
        <w:jc w:val="both"/>
        <w:rPr>
          <w:rFonts w:ascii="Arial" w:hAnsi="Arial" w:cs="Arial"/>
          <w:sz w:val="24"/>
          <w:szCs w:val="24"/>
        </w:rPr>
      </w:pPr>
    </w:p>
    <w:p w:rsidR="00362924" w:rsidRPr="00362924" w:rsidRDefault="00362924" w:rsidP="00362924">
      <w:pPr>
        <w:pStyle w:val="Textodenotaderodap"/>
        <w:jc w:val="both"/>
        <w:rPr>
          <w:rFonts w:ascii="Arial" w:hAnsi="Arial" w:cs="Arial"/>
          <w:sz w:val="24"/>
          <w:szCs w:val="24"/>
        </w:rPr>
      </w:pPr>
      <w:r w:rsidRPr="00362924">
        <w:rPr>
          <w:rFonts w:ascii="Arial" w:hAnsi="Arial" w:cs="Arial"/>
          <w:sz w:val="24"/>
          <w:szCs w:val="24"/>
        </w:rPr>
        <w:t>BRASIL, Câmara dos Deputados. Disponível em &lt;</w:t>
      </w:r>
      <w:hyperlink r:id="rId12" w:history="1">
        <w:r w:rsidRPr="00362924">
          <w:rPr>
            <w:rStyle w:val="Hyperlink"/>
            <w:rFonts w:ascii="Arial" w:hAnsi="Arial" w:cs="Arial"/>
            <w:color w:val="auto"/>
            <w:sz w:val="24"/>
            <w:szCs w:val="24"/>
            <w:u w:val="none"/>
          </w:rPr>
          <w:t>https://www.camara.leg.br/noticias/553631-sancionada-lei-que-proibe-casamento-antes-dos-16-anos-de-idade/</w:t>
        </w:r>
      </w:hyperlink>
      <w:r w:rsidRPr="00362924">
        <w:rPr>
          <w:rFonts w:ascii="Arial" w:hAnsi="Arial" w:cs="Arial"/>
          <w:sz w:val="24"/>
          <w:szCs w:val="24"/>
        </w:rPr>
        <w:t>&gt; Acesso em 01 nov. 2019.</w:t>
      </w:r>
    </w:p>
    <w:p w:rsidR="00D80A1D" w:rsidRPr="00424ADC" w:rsidRDefault="00D80A1D" w:rsidP="006A5FC0">
      <w:pPr>
        <w:pStyle w:val="Textodenotaderodap"/>
        <w:spacing w:line="360" w:lineRule="auto"/>
        <w:jc w:val="both"/>
        <w:rPr>
          <w:rFonts w:ascii="Arial" w:hAnsi="Arial" w:cs="Arial"/>
          <w:sz w:val="24"/>
          <w:szCs w:val="24"/>
        </w:rPr>
      </w:pPr>
    </w:p>
    <w:p w:rsidR="00424ADC" w:rsidRPr="00424ADC" w:rsidRDefault="00424ADC" w:rsidP="006A5FC0">
      <w:pPr>
        <w:pStyle w:val="Textodenotaderodap"/>
        <w:spacing w:line="360" w:lineRule="auto"/>
        <w:jc w:val="both"/>
        <w:rPr>
          <w:rFonts w:ascii="Arial" w:hAnsi="Arial" w:cs="Arial"/>
          <w:sz w:val="24"/>
          <w:szCs w:val="24"/>
        </w:rPr>
      </w:pPr>
      <w:r w:rsidRPr="00424ADC">
        <w:rPr>
          <w:rFonts w:ascii="Arial" w:hAnsi="Arial" w:cs="Arial"/>
          <w:sz w:val="24"/>
          <w:szCs w:val="24"/>
        </w:rPr>
        <w:t xml:space="preserve">BRASIL, Superior Tribunal de Justiça. Recurso Especial nº 992.749/MS, Gustavo Alves de Souza e outros x Paula Rosa de Souza. Rel: Min. Nancy Andrighi, Brasília, 01 dez. 2009. </w:t>
      </w:r>
      <w:r w:rsidRPr="00424ADC">
        <w:rPr>
          <w:rFonts w:ascii="Arial" w:hAnsi="Arial" w:cs="Arial"/>
          <w:b/>
          <w:bCs/>
          <w:sz w:val="24"/>
          <w:szCs w:val="24"/>
        </w:rPr>
        <w:t>Diário da Justiça Eletrônico do Superior Tribunal de Justiça</w:t>
      </w:r>
      <w:r w:rsidRPr="00424ADC">
        <w:rPr>
          <w:rFonts w:ascii="Arial" w:hAnsi="Arial" w:cs="Arial"/>
          <w:sz w:val="24"/>
          <w:szCs w:val="24"/>
        </w:rPr>
        <w:t>: 05 fev. 2010.</w:t>
      </w:r>
    </w:p>
    <w:p w:rsidR="00424ADC" w:rsidRPr="004D3295" w:rsidRDefault="00424ADC"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lastRenderedPageBreak/>
        <w:t xml:space="preserve">BRASIL, Superior Tribunal de Justiça. Recurso Especial nº 1.382.170/SP, Flávia Matarazzo x Silvia Maria Aranha Matarazzo. Rel: Min. Otávio de Noronha, Brasília, 22 abr. 2015. </w:t>
      </w:r>
      <w:r w:rsidRPr="004D3295">
        <w:rPr>
          <w:rFonts w:ascii="Arial" w:hAnsi="Arial" w:cs="Arial"/>
          <w:b/>
          <w:bCs/>
          <w:sz w:val="24"/>
          <w:szCs w:val="24"/>
        </w:rPr>
        <w:t>Diário da Justiça Eletrônico do Superior Tribunal de Justiça</w:t>
      </w:r>
      <w:r w:rsidRPr="004D3295">
        <w:rPr>
          <w:rFonts w:ascii="Arial" w:hAnsi="Arial" w:cs="Arial"/>
          <w:sz w:val="24"/>
          <w:szCs w:val="24"/>
        </w:rPr>
        <w:t>: 26 mai. 2015.</w:t>
      </w:r>
    </w:p>
    <w:p w:rsidR="00D80A1D" w:rsidRPr="004D3295" w:rsidRDefault="00D80A1D"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BRASIL, Superior Tribunal de Justiça. REsp nº 1.111.096/RJ, Rel. Ministro CARLOS FERNANDO MATHIAS, Rel. p. acórdão Ministro FERNANDO GONÇALVES, Quarta Turma. Brasília, 01 nov. 2009. </w:t>
      </w:r>
      <w:r w:rsidRPr="004D3295">
        <w:rPr>
          <w:rFonts w:ascii="Arial" w:hAnsi="Arial" w:cs="Arial"/>
          <w:b/>
          <w:bCs/>
          <w:sz w:val="24"/>
          <w:szCs w:val="24"/>
        </w:rPr>
        <w:t>Diário da Justiça Eletrônico do Superior Tribunal de Justiça</w:t>
      </w:r>
      <w:r w:rsidRPr="004D3295">
        <w:rPr>
          <w:rFonts w:ascii="Arial" w:hAnsi="Arial" w:cs="Arial"/>
          <w:sz w:val="24"/>
          <w:szCs w:val="24"/>
        </w:rPr>
        <w:t>: 11 dez. 2010.</w:t>
      </w:r>
    </w:p>
    <w:p w:rsidR="00C52349" w:rsidRDefault="00C52349" w:rsidP="006A5FC0">
      <w:pPr>
        <w:tabs>
          <w:tab w:val="left" w:pos="4830"/>
        </w:tabs>
        <w:jc w:val="both"/>
        <w:rPr>
          <w:rFonts w:ascii="Arial" w:hAnsi="Arial" w:cs="Arial"/>
          <w:sz w:val="24"/>
          <w:szCs w:val="24"/>
        </w:rPr>
      </w:pPr>
    </w:p>
    <w:p w:rsidR="00D80A1D" w:rsidRDefault="00C52349" w:rsidP="006A5FC0">
      <w:pPr>
        <w:tabs>
          <w:tab w:val="left" w:pos="4830"/>
        </w:tabs>
        <w:jc w:val="both"/>
        <w:rPr>
          <w:rFonts w:ascii="Arial" w:hAnsi="Arial" w:cs="Arial"/>
          <w:sz w:val="24"/>
          <w:szCs w:val="24"/>
        </w:rPr>
      </w:pPr>
      <w:r>
        <w:rPr>
          <w:rFonts w:ascii="Arial" w:hAnsi="Arial" w:cs="Arial"/>
          <w:sz w:val="24"/>
          <w:szCs w:val="24"/>
        </w:rPr>
        <w:t xml:space="preserve">BRASIL, </w:t>
      </w:r>
      <w:r w:rsidRPr="004D3295">
        <w:rPr>
          <w:rFonts w:ascii="Arial" w:hAnsi="Arial" w:cs="Arial"/>
          <w:sz w:val="24"/>
          <w:szCs w:val="24"/>
        </w:rPr>
        <w:t xml:space="preserve">STF, Recurso Extraordinário 878.694/MG, Rel. Min. Luís Roberto Barroso, j. 10.05.2017, publicado no </w:t>
      </w:r>
      <w:r w:rsidRPr="004D3295">
        <w:rPr>
          <w:rFonts w:ascii="Arial" w:hAnsi="Arial" w:cs="Arial"/>
          <w:b/>
          <w:sz w:val="24"/>
          <w:szCs w:val="24"/>
        </w:rPr>
        <w:t>Informativo n. 864 da Corte.</w:t>
      </w:r>
      <w:r w:rsidRPr="004D3295">
        <w:rPr>
          <w:rFonts w:ascii="Arial" w:hAnsi="Arial" w:cs="Arial"/>
          <w:sz w:val="24"/>
          <w:szCs w:val="24"/>
        </w:rPr>
        <w:t xml:space="preserve"> Disponível em &lt;</w:t>
      </w:r>
      <w:hyperlink r:id="rId13" w:history="1">
        <w:r w:rsidRPr="004D3295">
          <w:rPr>
            <w:rStyle w:val="Hyperlink"/>
            <w:rFonts w:ascii="Arial" w:hAnsi="Arial" w:cs="Arial"/>
            <w:color w:val="auto"/>
            <w:sz w:val="24"/>
            <w:szCs w:val="24"/>
            <w:u w:val="none"/>
          </w:rPr>
          <w:t>http://portal.stf.jus.br/processos/downloadPeca.asp?id=306841295&amp;ext=.pdf</w:t>
        </w:r>
      </w:hyperlink>
      <w:r w:rsidRPr="004D3295">
        <w:rPr>
          <w:rFonts w:ascii="Arial" w:hAnsi="Arial" w:cs="Arial"/>
          <w:sz w:val="24"/>
          <w:szCs w:val="24"/>
        </w:rPr>
        <w:t>&gt;; Acesso em: 19 de outubro de 2019.</w:t>
      </w:r>
    </w:p>
    <w:p w:rsidR="00C52349" w:rsidRPr="004D3295" w:rsidRDefault="00C52349" w:rsidP="006A5FC0">
      <w:pPr>
        <w:tabs>
          <w:tab w:val="left" w:pos="4830"/>
        </w:tabs>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CAHALI, Francisco José; HIRONAKA, Giselda Maria. </w:t>
      </w:r>
      <w:r w:rsidRPr="004D3295">
        <w:rPr>
          <w:rFonts w:ascii="Arial" w:hAnsi="Arial" w:cs="Arial"/>
          <w:b/>
          <w:sz w:val="24"/>
          <w:szCs w:val="24"/>
        </w:rPr>
        <w:t>Direito das Sucessões.</w:t>
      </w:r>
      <w:r w:rsidRPr="004D3295">
        <w:rPr>
          <w:rFonts w:ascii="Arial" w:hAnsi="Arial" w:cs="Arial"/>
          <w:sz w:val="24"/>
          <w:szCs w:val="24"/>
        </w:rPr>
        <w:t xml:space="preserve"> 5ª ed. rev. São Paulo: Editora Revista dos Tribunais, 2014. </w:t>
      </w:r>
    </w:p>
    <w:p w:rsidR="00D80A1D" w:rsidRPr="004D3295" w:rsidRDefault="00D80A1D"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CARREIRO, C. H. Porto. </w:t>
      </w:r>
      <w:r w:rsidRPr="004D3295">
        <w:rPr>
          <w:rFonts w:ascii="Arial" w:hAnsi="Arial" w:cs="Arial"/>
          <w:b/>
          <w:sz w:val="24"/>
          <w:szCs w:val="24"/>
        </w:rPr>
        <w:t>A prática do direito.</w:t>
      </w:r>
      <w:r w:rsidRPr="004D3295">
        <w:rPr>
          <w:rFonts w:ascii="Arial" w:hAnsi="Arial" w:cs="Arial"/>
          <w:sz w:val="24"/>
          <w:szCs w:val="24"/>
        </w:rPr>
        <w:t xml:space="preserve"> In: Introdução à ciência do direito. Rio de Janeiro: Editora Rio, 1976. p. 222. In: MEDEIROS, Morton Luiz Faria de. A clareza da lei e a necessidade de o juiz interpretá-la. </w:t>
      </w:r>
      <w:r w:rsidRPr="004D3295">
        <w:rPr>
          <w:rFonts w:ascii="Arial" w:hAnsi="Arial" w:cs="Arial"/>
          <w:b/>
          <w:sz w:val="24"/>
          <w:szCs w:val="24"/>
          <w:shd w:val="clear" w:color="auto" w:fill="FFFFFF"/>
        </w:rPr>
        <w:t>Revista de informação legislativa</w:t>
      </w:r>
      <w:r w:rsidRPr="004D3295">
        <w:rPr>
          <w:rFonts w:ascii="Arial" w:hAnsi="Arial" w:cs="Arial"/>
          <w:sz w:val="24"/>
          <w:szCs w:val="24"/>
          <w:shd w:val="clear" w:color="auto" w:fill="FFFFFF"/>
        </w:rPr>
        <w:t>, v. 37, n. 146, abr./jun. 2000</w:t>
      </w:r>
      <w:r w:rsidRPr="004D3295">
        <w:rPr>
          <w:rFonts w:ascii="Arial" w:hAnsi="Arial" w:cs="Arial"/>
          <w:b/>
          <w:sz w:val="24"/>
          <w:szCs w:val="24"/>
        </w:rPr>
        <w:t>.</w:t>
      </w:r>
      <w:r w:rsidRPr="004D3295">
        <w:rPr>
          <w:rFonts w:ascii="Arial" w:hAnsi="Arial" w:cs="Arial"/>
          <w:sz w:val="24"/>
          <w:szCs w:val="24"/>
        </w:rPr>
        <w:t xml:space="preserve"> Disponível em: &lt;</w:t>
      </w:r>
      <w:hyperlink r:id="rId14" w:history="1">
        <w:r w:rsidRPr="004D3295">
          <w:rPr>
            <w:rStyle w:val="Hyperlink"/>
            <w:rFonts w:ascii="Arial" w:hAnsi="Arial" w:cs="Arial"/>
            <w:color w:val="auto"/>
            <w:sz w:val="24"/>
            <w:szCs w:val="24"/>
            <w:u w:val="none"/>
            <w:shd w:val="clear" w:color="auto" w:fill="FFFFFF"/>
          </w:rPr>
          <w:t>http://www2.senado.leg.br/bdsf/handle/id/589</w:t>
        </w:r>
      </w:hyperlink>
      <w:r w:rsidRPr="004D3295">
        <w:rPr>
          <w:rFonts w:ascii="Arial" w:hAnsi="Arial" w:cs="Arial"/>
          <w:sz w:val="24"/>
          <w:szCs w:val="24"/>
        </w:rPr>
        <w:t>&gt;. Acesso em 04 nov. 2019.</w:t>
      </w:r>
    </w:p>
    <w:p w:rsidR="00D80A1D" w:rsidRPr="004D3295" w:rsidRDefault="00D80A1D"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DELGADO, Mário Luiz. Controvérsias na sucessão do cônjuge e do convivente. Uma proposta de harmonização do sistema. In: DELGADO, Mário Luiz; ALVES, Jones Figueirêdo. </w:t>
      </w:r>
      <w:r w:rsidRPr="004D3295">
        <w:rPr>
          <w:rFonts w:ascii="Arial" w:hAnsi="Arial" w:cs="Arial"/>
          <w:b/>
          <w:sz w:val="24"/>
          <w:szCs w:val="24"/>
        </w:rPr>
        <w:t xml:space="preserve">Novo Código Civil, Questões Controvertidas. </w:t>
      </w:r>
      <w:r w:rsidRPr="004D3295">
        <w:rPr>
          <w:rFonts w:ascii="Arial" w:hAnsi="Arial" w:cs="Arial"/>
          <w:sz w:val="24"/>
          <w:szCs w:val="24"/>
        </w:rPr>
        <w:t>São Pa</w:t>
      </w:r>
      <w:r>
        <w:rPr>
          <w:rFonts w:ascii="Arial" w:hAnsi="Arial" w:cs="Arial"/>
          <w:sz w:val="24"/>
          <w:szCs w:val="24"/>
        </w:rPr>
        <w:t>ulo: Método, 2005. V. 3.</w:t>
      </w:r>
    </w:p>
    <w:p w:rsidR="00D80A1D" w:rsidRPr="004D3295" w:rsidRDefault="00D80A1D"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eastAsia="ArialMT" w:hAnsi="Arial" w:cs="Arial"/>
          <w:sz w:val="24"/>
          <w:szCs w:val="24"/>
        </w:rPr>
      </w:pPr>
      <w:r w:rsidRPr="004D3295">
        <w:rPr>
          <w:rFonts w:ascii="Arial" w:hAnsi="Arial" w:cs="Arial"/>
          <w:sz w:val="24"/>
          <w:szCs w:val="24"/>
        </w:rPr>
        <w:t>DINIZ, Maria Helena</w:t>
      </w:r>
      <w:r>
        <w:rPr>
          <w:rFonts w:ascii="Arial" w:hAnsi="Arial" w:cs="Arial"/>
          <w:sz w:val="24"/>
          <w:szCs w:val="24"/>
        </w:rPr>
        <w:t>.</w:t>
      </w:r>
      <w:r w:rsidRPr="004D3295">
        <w:rPr>
          <w:rFonts w:ascii="Arial" w:eastAsia="ArialMT" w:hAnsi="Arial" w:cs="Arial"/>
          <w:sz w:val="24"/>
          <w:szCs w:val="24"/>
        </w:rPr>
        <w:t xml:space="preserve"> </w:t>
      </w:r>
      <w:r w:rsidRPr="004D3295">
        <w:rPr>
          <w:rFonts w:ascii="Arial" w:eastAsia="ArialMT" w:hAnsi="Arial" w:cs="Arial"/>
          <w:b/>
          <w:iCs/>
          <w:sz w:val="24"/>
          <w:szCs w:val="24"/>
        </w:rPr>
        <w:t>Código Civil anotado</w:t>
      </w:r>
      <w:r w:rsidRPr="004D3295">
        <w:rPr>
          <w:rFonts w:ascii="Arial" w:eastAsia="ArialMT" w:hAnsi="Arial" w:cs="Arial"/>
          <w:sz w:val="24"/>
          <w:szCs w:val="24"/>
        </w:rPr>
        <w:t>. 15. ed. São Paulo: Saraiva, 2010.</w:t>
      </w:r>
    </w:p>
    <w:p w:rsidR="00D80A1D" w:rsidRPr="004D3295" w:rsidRDefault="00D80A1D" w:rsidP="006A5FC0">
      <w:pPr>
        <w:tabs>
          <w:tab w:val="left" w:pos="4830"/>
        </w:tabs>
        <w:jc w:val="both"/>
        <w:rPr>
          <w:rFonts w:ascii="Arial" w:hAnsi="Arial" w:cs="Arial"/>
          <w:sz w:val="24"/>
          <w:szCs w:val="24"/>
        </w:rPr>
      </w:pPr>
    </w:p>
    <w:p w:rsidR="00D80A1D" w:rsidRDefault="006A5FC0" w:rsidP="006A5FC0">
      <w:pPr>
        <w:tabs>
          <w:tab w:val="left" w:pos="4830"/>
        </w:tabs>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Curso de Direito Civil Brasileiro, Direito de Família</w:t>
      </w:r>
      <w:r w:rsidR="00D80A1D" w:rsidRPr="004D3295">
        <w:rPr>
          <w:rFonts w:ascii="Arial" w:hAnsi="Arial" w:cs="Arial"/>
          <w:sz w:val="24"/>
          <w:szCs w:val="24"/>
        </w:rPr>
        <w:t>. 22 ed. rev. e atual. – São Paulo: Saraiva, 2007.</w:t>
      </w:r>
    </w:p>
    <w:p w:rsidR="00D80A1D" w:rsidRPr="004D3295" w:rsidRDefault="00D80A1D"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lastRenderedPageBreak/>
        <w:t xml:space="preserve">FACHIN, Luiz Edson. </w:t>
      </w:r>
      <w:r w:rsidRPr="004D3295">
        <w:rPr>
          <w:rFonts w:ascii="Arial" w:hAnsi="Arial" w:cs="Arial"/>
          <w:b/>
          <w:sz w:val="24"/>
          <w:szCs w:val="24"/>
        </w:rPr>
        <w:t>Direito de Família: Elementos críticos à luz do Código Civil Brasileiro</w:t>
      </w:r>
      <w:r w:rsidRPr="004D3295">
        <w:rPr>
          <w:rFonts w:ascii="Arial" w:hAnsi="Arial" w:cs="Arial"/>
          <w:sz w:val="24"/>
          <w:szCs w:val="24"/>
        </w:rPr>
        <w:t>. Rio de Janeiro: Renovar, 2003.</w:t>
      </w:r>
    </w:p>
    <w:p w:rsidR="00D80A1D" w:rsidRPr="004D3295" w:rsidRDefault="00D80A1D" w:rsidP="006A5FC0">
      <w:pPr>
        <w:tabs>
          <w:tab w:val="left" w:pos="4830"/>
        </w:tabs>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shd w:val="clear" w:color="auto" w:fill="FFFFFF"/>
        </w:rPr>
      </w:pPr>
      <w:r w:rsidRPr="004D3295">
        <w:rPr>
          <w:rFonts w:ascii="Arial" w:hAnsi="Arial" w:cs="Arial"/>
          <w:sz w:val="24"/>
          <w:szCs w:val="24"/>
          <w:shd w:val="clear" w:color="auto" w:fill="FFFFFF"/>
        </w:rPr>
        <w:t xml:space="preserve">LACERDA DE ALMEIDA, Francisco de Paula. </w:t>
      </w:r>
      <w:r w:rsidRPr="00816446">
        <w:rPr>
          <w:rFonts w:ascii="Arial" w:hAnsi="Arial" w:cs="Arial"/>
          <w:sz w:val="24"/>
          <w:szCs w:val="24"/>
          <w:shd w:val="clear" w:color="auto" w:fill="FFFFFF"/>
        </w:rPr>
        <w:t>Sucessões.</w:t>
      </w:r>
      <w:r w:rsidRPr="004D3295">
        <w:rPr>
          <w:rFonts w:ascii="Arial" w:hAnsi="Arial" w:cs="Arial"/>
          <w:sz w:val="24"/>
          <w:szCs w:val="24"/>
          <w:shd w:val="clear" w:color="auto" w:fill="FFFFFF"/>
        </w:rPr>
        <w:t xml:space="preserve"> Rio de Janeiro: Typ, 1915, p. 194. In: DELGADO, Mário Luiz. </w:t>
      </w:r>
      <w:r w:rsidRPr="004D3295">
        <w:rPr>
          <w:rFonts w:ascii="Arial" w:hAnsi="Arial" w:cs="Arial"/>
          <w:b/>
          <w:sz w:val="24"/>
          <w:szCs w:val="24"/>
          <w:shd w:val="clear" w:color="auto" w:fill="FFFFFF"/>
        </w:rPr>
        <w:t>Chegou a hora de revisitar a legítimas dos descendentes e ascendentes.</w:t>
      </w:r>
      <w:r w:rsidRPr="004D3295">
        <w:rPr>
          <w:rFonts w:ascii="Arial" w:hAnsi="Arial" w:cs="Arial"/>
          <w:sz w:val="24"/>
          <w:szCs w:val="24"/>
          <w:shd w:val="clear" w:color="auto" w:fill="FFFFFF"/>
        </w:rPr>
        <w:t xml:space="preserve"> 13 de maio de 2018. Disponível em &lt;</w:t>
      </w:r>
      <w:hyperlink r:id="rId15" w:anchor="_ftn5" w:history="1">
        <w:r w:rsidRPr="004D3295">
          <w:rPr>
            <w:rStyle w:val="Hyperlink"/>
            <w:rFonts w:ascii="Arial" w:hAnsi="Arial" w:cs="Arial"/>
            <w:color w:val="auto"/>
            <w:sz w:val="24"/>
            <w:szCs w:val="24"/>
            <w:u w:val="none"/>
          </w:rPr>
          <w:t>https://www.conjur.com.br/2018-mai-13/processo-familiar-preciso-revisitar-legitima-descendentes#_ftn5</w:t>
        </w:r>
      </w:hyperlink>
      <w:r w:rsidRPr="004D3295">
        <w:rPr>
          <w:rFonts w:ascii="Arial" w:hAnsi="Arial" w:cs="Arial"/>
          <w:sz w:val="24"/>
          <w:szCs w:val="24"/>
        </w:rPr>
        <w:t>&gt;; Acesso em: 19 de outubro de 2019</w:t>
      </w:r>
      <w:r w:rsidRPr="004D3295">
        <w:rPr>
          <w:rFonts w:ascii="Arial" w:hAnsi="Arial" w:cs="Arial"/>
          <w:sz w:val="24"/>
          <w:szCs w:val="24"/>
          <w:shd w:val="clear" w:color="auto" w:fill="FFFFFF"/>
        </w:rPr>
        <w:t>.</w:t>
      </w:r>
    </w:p>
    <w:p w:rsidR="00D80A1D" w:rsidRPr="004D3295" w:rsidRDefault="00D80A1D"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LAMARTINE, José; MUNIZ, Francisco José Ferreira. </w:t>
      </w:r>
      <w:r w:rsidRPr="004D3295">
        <w:rPr>
          <w:rFonts w:ascii="Arial" w:hAnsi="Arial" w:cs="Arial"/>
          <w:b/>
          <w:sz w:val="24"/>
          <w:szCs w:val="24"/>
        </w:rPr>
        <w:t>Direito de família</w:t>
      </w:r>
      <w:r w:rsidRPr="004D3295">
        <w:rPr>
          <w:rFonts w:ascii="Arial" w:hAnsi="Arial" w:cs="Arial"/>
          <w:sz w:val="24"/>
          <w:szCs w:val="24"/>
        </w:rPr>
        <w:t>. Porto Alegre: Sérgio Antônio Fabris, 1990.</w:t>
      </w:r>
    </w:p>
    <w:p w:rsidR="00D80A1D" w:rsidRPr="004D3295" w:rsidRDefault="00D80A1D" w:rsidP="006A5FC0">
      <w:pPr>
        <w:tabs>
          <w:tab w:val="left" w:pos="4830"/>
        </w:tabs>
        <w:jc w:val="both"/>
        <w:rPr>
          <w:rFonts w:ascii="Arial" w:hAnsi="Arial" w:cs="Arial"/>
          <w:sz w:val="24"/>
          <w:szCs w:val="24"/>
        </w:rPr>
      </w:pPr>
    </w:p>
    <w:p w:rsidR="00D80A1D" w:rsidRPr="004D3295"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LEITE, Eduardo de Oliveira. </w:t>
      </w:r>
      <w:r w:rsidRPr="004D3295">
        <w:rPr>
          <w:rFonts w:ascii="Arial" w:hAnsi="Arial" w:cs="Arial"/>
          <w:b/>
          <w:sz w:val="24"/>
          <w:szCs w:val="24"/>
        </w:rPr>
        <w:t>Comentários ao novo Código Civil – arts. 1784 a 2027</w:t>
      </w:r>
      <w:r w:rsidRPr="004D3295">
        <w:rPr>
          <w:rFonts w:ascii="Arial" w:hAnsi="Arial" w:cs="Arial"/>
          <w:sz w:val="24"/>
          <w:szCs w:val="24"/>
        </w:rPr>
        <w:t>. 2ª ed. Rio de</w:t>
      </w:r>
      <w:r>
        <w:rPr>
          <w:rFonts w:ascii="Arial" w:hAnsi="Arial" w:cs="Arial"/>
          <w:sz w:val="24"/>
          <w:szCs w:val="24"/>
        </w:rPr>
        <w:t xml:space="preserve"> Janeiro: Forense, 2003. V. XXI.</w:t>
      </w: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LÔBO, Paulo. </w:t>
      </w:r>
      <w:r w:rsidRPr="004D3295">
        <w:rPr>
          <w:rFonts w:ascii="Arial" w:hAnsi="Arial" w:cs="Arial"/>
          <w:b/>
          <w:bCs/>
          <w:sz w:val="24"/>
          <w:szCs w:val="24"/>
        </w:rPr>
        <w:t>Direito Civil</w:t>
      </w:r>
      <w:r w:rsidRPr="004D3295">
        <w:rPr>
          <w:rFonts w:ascii="Arial" w:hAnsi="Arial" w:cs="Arial"/>
          <w:b/>
          <w:sz w:val="24"/>
          <w:szCs w:val="24"/>
        </w:rPr>
        <w:t>: Famílias.</w:t>
      </w:r>
      <w:r w:rsidRPr="004D3295">
        <w:rPr>
          <w:rFonts w:ascii="Arial" w:hAnsi="Arial" w:cs="Arial"/>
          <w:sz w:val="24"/>
          <w:szCs w:val="24"/>
        </w:rPr>
        <w:t xml:space="preserve"> 4ª. ed. – São Paulo: Saraiva, 2011.</w:t>
      </w:r>
    </w:p>
    <w:p w:rsidR="00867B0F" w:rsidRPr="00867B0F" w:rsidRDefault="00867B0F" w:rsidP="006A5FC0">
      <w:pPr>
        <w:pStyle w:val="Textodenotaderodap"/>
        <w:spacing w:line="360" w:lineRule="auto"/>
        <w:jc w:val="both"/>
        <w:rPr>
          <w:rFonts w:ascii="Arial" w:hAnsi="Arial" w:cs="Arial"/>
          <w:color w:val="000000" w:themeColor="text1"/>
          <w:sz w:val="24"/>
          <w:szCs w:val="24"/>
        </w:rPr>
      </w:pPr>
    </w:p>
    <w:p w:rsidR="00867B0F" w:rsidRPr="00867B0F" w:rsidRDefault="00867B0F" w:rsidP="006A5FC0">
      <w:pPr>
        <w:pStyle w:val="Textodenotaderodap"/>
        <w:spacing w:line="360" w:lineRule="auto"/>
        <w:jc w:val="both"/>
        <w:rPr>
          <w:rFonts w:ascii="Arial" w:hAnsi="Arial" w:cs="Arial"/>
          <w:color w:val="000000" w:themeColor="text1"/>
          <w:sz w:val="24"/>
          <w:szCs w:val="24"/>
        </w:rPr>
      </w:pPr>
      <w:r w:rsidRPr="00867B0F">
        <w:rPr>
          <w:rFonts w:ascii="Arial" w:hAnsi="Arial" w:cs="Arial"/>
          <w:color w:val="000000" w:themeColor="text1"/>
          <w:sz w:val="24"/>
          <w:szCs w:val="24"/>
        </w:rPr>
        <w:t xml:space="preserve">MATOS, Ana Carla Harmatiuk. </w:t>
      </w:r>
      <w:r w:rsidRPr="00867B0F">
        <w:rPr>
          <w:rFonts w:ascii="Arial" w:hAnsi="Arial" w:cs="Arial"/>
          <w:b/>
          <w:color w:val="000000" w:themeColor="text1"/>
          <w:sz w:val="24"/>
          <w:szCs w:val="24"/>
        </w:rPr>
        <w:t xml:space="preserve">São válidas as disposições patrimoniais e existenciais no pacto antenupcial? </w:t>
      </w:r>
      <w:r w:rsidRPr="00867B0F">
        <w:rPr>
          <w:rFonts w:ascii="Arial" w:hAnsi="Arial" w:cs="Arial"/>
          <w:color w:val="000000" w:themeColor="text1"/>
          <w:sz w:val="24"/>
          <w:szCs w:val="24"/>
        </w:rPr>
        <w:t>Disponível em &lt;</w:t>
      </w:r>
      <w:hyperlink r:id="rId16" w:history="1">
        <w:r w:rsidRPr="00867B0F">
          <w:rPr>
            <w:rStyle w:val="Hyperlink"/>
            <w:rFonts w:ascii="Arial" w:hAnsi="Arial" w:cs="Arial"/>
            <w:color w:val="000000" w:themeColor="text1"/>
            <w:sz w:val="24"/>
            <w:szCs w:val="24"/>
            <w:u w:val="none"/>
          </w:rPr>
          <w:t>https://rbdcivil.ibdcivil.org.br/rbdc/article/view/239/222</w:t>
        </w:r>
      </w:hyperlink>
      <w:r w:rsidRPr="00867B0F">
        <w:rPr>
          <w:rFonts w:ascii="Arial" w:hAnsi="Arial" w:cs="Arial"/>
          <w:color w:val="000000" w:themeColor="text1"/>
          <w:sz w:val="24"/>
          <w:szCs w:val="24"/>
        </w:rPr>
        <w:t>&gt;; Acesso em: 08 nov. 2019.</w:t>
      </w:r>
    </w:p>
    <w:p w:rsidR="006A5FC0" w:rsidRPr="004D3295" w:rsidRDefault="006A5FC0"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MADALENO, Rolf. </w:t>
      </w:r>
      <w:r w:rsidRPr="004D3295">
        <w:rPr>
          <w:rFonts w:ascii="Arial" w:hAnsi="Arial" w:cs="Arial"/>
          <w:b/>
          <w:sz w:val="24"/>
          <w:szCs w:val="24"/>
        </w:rPr>
        <w:t>O Direito Adquirido e o Regime de Bens</w:t>
      </w:r>
      <w:r w:rsidRPr="004D3295">
        <w:rPr>
          <w:rFonts w:ascii="Arial" w:hAnsi="Arial" w:cs="Arial"/>
          <w:sz w:val="24"/>
          <w:szCs w:val="24"/>
        </w:rPr>
        <w:t>. In Revista Jurídica n. 348, Porto Alegre: Nota Dez, 2006.</w:t>
      </w:r>
    </w:p>
    <w:p w:rsidR="0033712A" w:rsidRDefault="0033712A" w:rsidP="006A5FC0">
      <w:pPr>
        <w:tabs>
          <w:tab w:val="left" w:pos="4830"/>
        </w:tabs>
        <w:jc w:val="both"/>
        <w:rPr>
          <w:rFonts w:ascii="Arial" w:hAnsi="Arial" w:cs="Arial"/>
          <w:sz w:val="24"/>
          <w:szCs w:val="24"/>
        </w:rPr>
      </w:pPr>
    </w:p>
    <w:p w:rsidR="0033712A" w:rsidRPr="0033712A" w:rsidRDefault="0033712A" w:rsidP="006A5FC0">
      <w:pPr>
        <w:tabs>
          <w:tab w:val="left" w:pos="4830"/>
        </w:tabs>
        <w:jc w:val="both"/>
        <w:rPr>
          <w:rFonts w:ascii="Arial" w:hAnsi="Arial" w:cs="Arial"/>
          <w:sz w:val="24"/>
          <w:szCs w:val="24"/>
        </w:rPr>
      </w:pPr>
      <w:r>
        <w:rPr>
          <w:sz w:val="23"/>
          <w:szCs w:val="23"/>
        </w:rPr>
        <w:t>______</w:t>
      </w:r>
      <w:r w:rsidRPr="004D3295">
        <w:rPr>
          <w:rFonts w:ascii="Arial" w:hAnsi="Arial" w:cs="Arial"/>
          <w:sz w:val="24"/>
          <w:szCs w:val="24"/>
        </w:rPr>
        <w:t>.</w:t>
      </w:r>
      <w:r w:rsidRPr="0033712A">
        <w:rPr>
          <w:rFonts w:ascii="Arial" w:hAnsi="Arial" w:cs="Arial"/>
          <w:color w:val="000000"/>
          <w:sz w:val="20"/>
          <w:szCs w:val="20"/>
        </w:rPr>
        <w:t xml:space="preserve"> </w:t>
      </w:r>
      <w:r w:rsidRPr="0033712A">
        <w:rPr>
          <w:rFonts w:ascii="Arial" w:hAnsi="Arial" w:cs="Arial"/>
          <w:b/>
          <w:color w:val="000000"/>
          <w:sz w:val="24"/>
          <w:szCs w:val="24"/>
        </w:rPr>
        <w:t>Renúncia de herança em pacto antenupcial</w:t>
      </w:r>
      <w:r w:rsidRPr="0033712A">
        <w:rPr>
          <w:rFonts w:ascii="Arial" w:hAnsi="Arial" w:cs="Arial"/>
          <w:color w:val="000000"/>
          <w:sz w:val="24"/>
          <w:szCs w:val="24"/>
        </w:rPr>
        <w:t>. Revista de Direito das Famílias e Sucessões, n. 27, Belo Horizonte, IBDFAM, p. 9-57, 2018.</w:t>
      </w:r>
    </w:p>
    <w:p w:rsidR="006A5FC0" w:rsidRPr="004D3295" w:rsidRDefault="006A5FC0" w:rsidP="006A5FC0">
      <w:pPr>
        <w:tabs>
          <w:tab w:val="left" w:pos="4830"/>
        </w:tabs>
        <w:jc w:val="both"/>
        <w:rPr>
          <w:rFonts w:ascii="Arial" w:hAnsi="Arial" w:cs="Arial"/>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MONTEIRO, Washington de Barros. </w:t>
      </w:r>
      <w:r w:rsidRPr="004D3295">
        <w:rPr>
          <w:rFonts w:ascii="Arial" w:hAnsi="Arial" w:cs="Arial"/>
          <w:b/>
          <w:sz w:val="24"/>
          <w:szCs w:val="24"/>
        </w:rPr>
        <w:t>Curso de Direito Civil – Direito das Sucessões</w:t>
      </w:r>
      <w:r w:rsidRPr="004D3295">
        <w:rPr>
          <w:rFonts w:ascii="Arial" w:hAnsi="Arial" w:cs="Arial"/>
          <w:sz w:val="24"/>
          <w:szCs w:val="24"/>
        </w:rPr>
        <w:t xml:space="preserve">. </w:t>
      </w:r>
      <w:r w:rsidR="006A5FC0">
        <w:rPr>
          <w:rFonts w:ascii="Arial" w:hAnsi="Arial" w:cs="Arial"/>
          <w:sz w:val="24"/>
          <w:szCs w:val="24"/>
        </w:rPr>
        <w:t xml:space="preserve">Vol. 6, </w:t>
      </w:r>
      <w:r w:rsidRPr="004D3295">
        <w:rPr>
          <w:rFonts w:ascii="Arial" w:hAnsi="Arial" w:cs="Arial"/>
          <w:sz w:val="24"/>
          <w:szCs w:val="24"/>
        </w:rPr>
        <w:t>35 ed., atual. São Paulo: Saraiva, 2003</w:t>
      </w:r>
      <w:r w:rsidR="006A5FC0">
        <w:rPr>
          <w:rFonts w:ascii="Arial" w:hAnsi="Arial" w:cs="Arial"/>
          <w:sz w:val="24"/>
          <w:szCs w:val="24"/>
        </w:rPr>
        <w:t>.</w:t>
      </w:r>
    </w:p>
    <w:p w:rsidR="006A5FC0" w:rsidRPr="004D3295" w:rsidRDefault="006A5FC0" w:rsidP="006A5FC0">
      <w:pPr>
        <w:pStyle w:val="Textodenotaderodap"/>
        <w:spacing w:line="360" w:lineRule="auto"/>
        <w:jc w:val="both"/>
        <w:rPr>
          <w:rFonts w:ascii="Arial" w:hAnsi="Arial" w:cs="Arial"/>
          <w:sz w:val="24"/>
          <w:szCs w:val="24"/>
        </w:rPr>
      </w:pPr>
    </w:p>
    <w:p w:rsidR="00D80A1D" w:rsidRDefault="006A5FC0" w:rsidP="006A5FC0">
      <w:pPr>
        <w:tabs>
          <w:tab w:val="left" w:pos="4830"/>
        </w:tabs>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Curso de Direito Civil</w:t>
      </w:r>
      <w:r w:rsidR="00D80A1D" w:rsidRPr="004D3295">
        <w:rPr>
          <w:rFonts w:ascii="Arial" w:hAnsi="Arial" w:cs="Arial"/>
          <w:sz w:val="24"/>
          <w:szCs w:val="24"/>
        </w:rPr>
        <w:t>. Vol. II, São Paulo: Saraiva, 2004.</w:t>
      </w:r>
    </w:p>
    <w:p w:rsidR="006A5FC0" w:rsidRPr="004D3295" w:rsidRDefault="006A5FC0" w:rsidP="006A5FC0">
      <w:pPr>
        <w:tabs>
          <w:tab w:val="left" w:pos="4830"/>
        </w:tabs>
        <w:jc w:val="both"/>
        <w:rPr>
          <w:rFonts w:ascii="Arial" w:hAnsi="Arial" w:cs="Arial"/>
          <w:sz w:val="24"/>
          <w:szCs w:val="24"/>
        </w:rPr>
      </w:pPr>
    </w:p>
    <w:p w:rsidR="00D80A1D" w:rsidRDefault="00D80A1D" w:rsidP="006A5FC0">
      <w:pPr>
        <w:autoSpaceDE w:val="0"/>
        <w:autoSpaceDN w:val="0"/>
        <w:adjustRightInd w:val="0"/>
        <w:jc w:val="both"/>
        <w:rPr>
          <w:rFonts w:ascii="Arial" w:hAnsi="Arial" w:cs="Arial"/>
          <w:iCs/>
          <w:sz w:val="24"/>
          <w:szCs w:val="24"/>
        </w:rPr>
      </w:pPr>
      <w:r w:rsidRPr="004D3295">
        <w:rPr>
          <w:rFonts w:ascii="Arial" w:hAnsi="Arial" w:cs="Arial"/>
          <w:iCs/>
          <w:sz w:val="24"/>
          <w:szCs w:val="24"/>
        </w:rPr>
        <w:t xml:space="preserve">NERY JÚNIOR, Nelson e NERY, Rosa Maria de Andrade. </w:t>
      </w:r>
      <w:r w:rsidRPr="004D3295">
        <w:rPr>
          <w:rFonts w:ascii="Arial" w:hAnsi="Arial" w:cs="Arial"/>
          <w:b/>
          <w:iCs/>
          <w:sz w:val="24"/>
          <w:szCs w:val="24"/>
        </w:rPr>
        <w:t>Código de Processo Civil Comentado e Legislação Extravagante</w:t>
      </w:r>
      <w:r w:rsidRPr="004D3295">
        <w:rPr>
          <w:rFonts w:ascii="Arial" w:hAnsi="Arial" w:cs="Arial"/>
          <w:iCs/>
          <w:sz w:val="24"/>
          <w:szCs w:val="24"/>
        </w:rPr>
        <w:t>. Ed. RT, São Paulo, 3ª ed., 2005</w:t>
      </w:r>
      <w:r>
        <w:rPr>
          <w:rFonts w:ascii="Arial" w:hAnsi="Arial" w:cs="Arial"/>
          <w:iCs/>
          <w:sz w:val="24"/>
          <w:szCs w:val="24"/>
        </w:rPr>
        <w:t>.</w:t>
      </w:r>
    </w:p>
    <w:p w:rsidR="006A5FC0" w:rsidRPr="00707592" w:rsidRDefault="006A5FC0" w:rsidP="006A5FC0">
      <w:pPr>
        <w:autoSpaceDE w:val="0"/>
        <w:autoSpaceDN w:val="0"/>
        <w:adjustRightInd w:val="0"/>
        <w:jc w:val="both"/>
        <w:rPr>
          <w:rFonts w:ascii="Arial" w:hAnsi="Arial" w:cs="Arial"/>
          <w:iCs/>
          <w:color w:val="000000"/>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lastRenderedPageBreak/>
        <w:t xml:space="preserve">NUNES, João Batista. </w:t>
      </w:r>
      <w:r w:rsidRPr="004D3295">
        <w:rPr>
          <w:rFonts w:ascii="Arial" w:hAnsi="Arial" w:cs="Arial"/>
          <w:b/>
          <w:sz w:val="24"/>
          <w:szCs w:val="24"/>
        </w:rPr>
        <w:t xml:space="preserve">Família e sucessões: reflexos atuais. </w:t>
      </w:r>
      <w:r w:rsidRPr="004D3295">
        <w:rPr>
          <w:rFonts w:ascii="Arial" w:hAnsi="Arial" w:cs="Arial"/>
          <w:sz w:val="24"/>
          <w:szCs w:val="24"/>
        </w:rPr>
        <w:t>Curitiba: Juruá, 2009.</w:t>
      </w:r>
    </w:p>
    <w:p w:rsidR="006A5FC0" w:rsidRPr="004D3295" w:rsidRDefault="006A5FC0"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hAnsi="Arial" w:cs="Arial"/>
          <w:color w:val="1A1A1A"/>
          <w:sz w:val="24"/>
          <w:szCs w:val="24"/>
          <w:shd w:val="clear" w:color="auto" w:fill="FFFFFF"/>
        </w:rPr>
      </w:pPr>
      <w:r w:rsidRPr="004D3295">
        <w:rPr>
          <w:rFonts w:ascii="Arial" w:hAnsi="Arial" w:cs="Arial"/>
          <w:color w:val="1A1A1A"/>
          <w:sz w:val="24"/>
          <w:szCs w:val="24"/>
          <w:shd w:val="clear" w:color="auto" w:fill="FFFFFF"/>
        </w:rPr>
        <w:t xml:space="preserve">OLIVEIRA, Itabaiana de. </w:t>
      </w:r>
      <w:r w:rsidRPr="004D3295">
        <w:rPr>
          <w:rFonts w:ascii="Arial" w:hAnsi="Arial" w:cs="Arial"/>
          <w:b/>
          <w:color w:val="1A1A1A"/>
          <w:sz w:val="24"/>
          <w:szCs w:val="24"/>
          <w:shd w:val="clear" w:color="auto" w:fill="FFFFFF"/>
        </w:rPr>
        <w:t>Tratado de direito das sucessões. Vol. II. Da sucessão testamentária.</w:t>
      </w:r>
      <w:r w:rsidRPr="004D3295">
        <w:rPr>
          <w:rFonts w:ascii="Arial" w:hAnsi="Arial" w:cs="Arial"/>
          <w:color w:val="1A1A1A"/>
          <w:sz w:val="24"/>
          <w:szCs w:val="24"/>
          <w:shd w:val="clear" w:color="auto" w:fill="FFFFFF"/>
        </w:rPr>
        <w:t xml:space="preserve"> São Paulo: Max Limonad, 1952</w:t>
      </w:r>
      <w:r w:rsidR="006A5FC0">
        <w:rPr>
          <w:rFonts w:ascii="Arial" w:hAnsi="Arial" w:cs="Arial"/>
          <w:color w:val="1A1A1A"/>
          <w:sz w:val="24"/>
          <w:szCs w:val="24"/>
          <w:shd w:val="clear" w:color="auto" w:fill="FFFFFF"/>
        </w:rPr>
        <w:t>.</w:t>
      </w:r>
    </w:p>
    <w:p w:rsidR="006A5FC0" w:rsidRPr="004D3295" w:rsidRDefault="006A5FC0" w:rsidP="006A5FC0">
      <w:pPr>
        <w:tabs>
          <w:tab w:val="left" w:pos="4830"/>
        </w:tabs>
        <w:jc w:val="both"/>
        <w:rPr>
          <w:rFonts w:ascii="Arial" w:hAnsi="Arial" w:cs="Arial"/>
          <w:color w:val="1A1A1A"/>
          <w:sz w:val="24"/>
          <w:szCs w:val="24"/>
          <w:shd w:val="clear" w:color="auto" w:fill="FFFFFF"/>
        </w:rPr>
      </w:pPr>
    </w:p>
    <w:p w:rsidR="00D80A1D" w:rsidRDefault="00D80A1D" w:rsidP="006A5FC0">
      <w:pPr>
        <w:tabs>
          <w:tab w:val="left" w:pos="4830"/>
        </w:tabs>
        <w:jc w:val="both"/>
        <w:rPr>
          <w:rFonts w:ascii="Arial" w:hAnsi="Arial" w:cs="Arial"/>
          <w:color w:val="000000" w:themeColor="text1"/>
          <w:sz w:val="24"/>
          <w:szCs w:val="24"/>
          <w:shd w:val="clear" w:color="auto" w:fill="FFFFFF"/>
        </w:rPr>
      </w:pPr>
      <w:r w:rsidRPr="004D3295">
        <w:rPr>
          <w:rFonts w:ascii="Arial" w:hAnsi="Arial" w:cs="Arial"/>
          <w:color w:val="000000" w:themeColor="text1"/>
          <w:sz w:val="24"/>
          <w:szCs w:val="24"/>
          <w:shd w:val="clear" w:color="auto" w:fill="FFFFFF"/>
        </w:rPr>
        <w:t>ORSELLI. Helena de Azeredo. </w:t>
      </w:r>
      <w:r w:rsidRPr="004D3295">
        <w:rPr>
          <w:rFonts w:ascii="Arial" w:hAnsi="Arial" w:cs="Arial"/>
          <w:b/>
          <w:bCs/>
          <w:color w:val="000000" w:themeColor="text1"/>
          <w:sz w:val="24"/>
          <w:szCs w:val="24"/>
          <w:bdr w:val="none" w:sz="0" w:space="0" w:color="auto" w:frame="1"/>
          <w:shd w:val="clear" w:color="auto" w:fill="FFFFFF"/>
        </w:rPr>
        <w:t>A concorrência do cônjuge sobrevivente com os descendentes do falecido</w:t>
      </w:r>
      <w:r w:rsidRPr="004D3295">
        <w:rPr>
          <w:rFonts w:ascii="Arial" w:hAnsi="Arial" w:cs="Arial"/>
          <w:color w:val="000000" w:themeColor="text1"/>
          <w:sz w:val="24"/>
          <w:szCs w:val="24"/>
          <w:shd w:val="clear" w:color="auto" w:fill="FFFFFF"/>
        </w:rPr>
        <w:t>. Disponível em &lt;http://proxy.furb.br/ojs/index.php/juridica/articl</w:t>
      </w:r>
      <w:r w:rsidR="006A5FC0">
        <w:rPr>
          <w:rFonts w:ascii="Arial" w:hAnsi="Arial" w:cs="Arial"/>
          <w:color w:val="000000" w:themeColor="text1"/>
          <w:sz w:val="24"/>
          <w:szCs w:val="24"/>
          <w:shd w:val="clear" w:color="auto" w:fill="FFFFFF"/>
        </w:rPr>
        <w:t xml:space="preserve">e/viewPDFInterstitial/442/401&gt;. </w:t>
      </w:r>
      <w:r w:rsidRPr="004D3295">
        <w:rPr>
          <w:rFonts w:ascii="Arial" w:hAnsi="Arial" w:cs="Arial"/>
          <w:color w:val="000000" w:themeColor="text1"/>
          <w:sz w:val="24"/>
          <w:szCs w:val="24"/>
          <w:shd w:val="clear" w:color="auto" w:fill="FFFFFF"/>
        </w:rPr>
        <w:t>Acesso em 26 out 2019</w:t>
      </w:r>
      <w:r>
        <w:rPr>
          <w:rFonts w:ascii="Arial" w:hAnsi="Arial" w:cs="Arial"/>
          <w:color w:val="000000" w:themeColor="text1"/>
          <w:sz w:val="24"/>
          <w:szCs w:val="24"/>
          <w:shd w:val="clear" w:color="auto" w:fill="FFFFFF"/>
        </w:rPr>
        <w:t>.</w:t>
      </w:r>
    </w:p>
    <w:p w:rsidR="006A5FC0" w:rsidRPr="004D3295" w:rsidRDefault="006A5FC0" w:rsidP="006A5FC0">
      <w:pPr>
        <w:tabs>
          <w:tab w:val="left" w:pos="4830"/>
        </w:tabs>
        <w:jc w:val="both"/>
        <w:rPr>
          <w:rFonts w:ascii="Arial" w:hAnsi="Arial" w:cs="Arial"/>
          <w:color w:val="000000" w:themeColor="text1"/>
          <w:sz w:val="24"/>
          <w:szCs w:val="24"/>
          <w:shd w:val="clear" w:color="auto" w:fill="FFFFFF"/>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PELUZO, Cezar. </w:t>
      </w:r>
      <w:r w:rsidRPr="004D3295">
        <w:rPr>
          <w:rFonts w:ascii="Arial" w:hAnsi="Arial" w:cs="Arial"/>
          <w:b/>
          <w:iCs/>
          <w:sz w:val="24"/>
          <w:szCs w:val="24"/>
        </w:rPr>
        <w:t>Código Civil Comentado.</w:t>
      </w:r>
      <w:r w:rsidRPr="004D3295">
        <w:rPr>
          <w:rFonts w:ascii="Arial" w:hAnsi="Arial" w:cs="Arial"/>
          <w:i/>
          <w:iCs/>
          <w:sz w:val="24"/>
          <w:szCs w:val="24"/>
        </w:rPr>
        <w:t xml:space="preserve"> </w:t>
      </w:r>
      <w:r w:rsidR="006A5FC0">
        <w:rPr>
          <w:rFonts w:ascii="Arial" w:hAnsi="Arial" w:cs="Arial"/>
          <w:sz w:val="24"/>
          <w:szCs w:val="24"/>
        </w:rPr>
        <w:t>4ª ed. Barueri: Manole, 2010.</w:t>
      </w:r>
    </w:p>
    <w:p w:rsidR="006A5FC0" w:rsidRDefault="006A5FC0" w:rsidP="006A5FC0">
      <w:pPr>
        <w:tabs>
          <w:tab w:val="left" w:pos="4830"/>
        </w:tabs>
        <w:jc w:val="both"/>
        <w:rPr>
          <w:rFonts w:ascii="Arial" w:hAnsi="Arial" w:cs="Arial"/>
          <w:sz w:val="24"/>
          <w:szCs w:val="24"/>
        </w:rPr>
      </w:pPr>
    </w:p>
    <w:p w:rsidR="00D80A1D" w:rsidRDefault="006A5FC0" w:rsidP="006A5FC0">
      <w:pPr>
        <w:tabs>
          <w:tab w:val="left" w:pos="4830"/>
        </w:tabs>
        <w:jc w:val="both"/>
        <w:rPr>
          <w:rFonts w:ascii="Arial" w:hAnsi="Arial" w:cs="Arial"/>
          <w:iCs/>
          <w:sz w:val="24"/>
          <w:szCs w:val="24"/>
        </w:rPr>
      </w:pPr>
      <w:r>
        <w:rPr>
          <w:sz w:val="23"/>
          <w:szCs w:val="23"/>
        </w:rPr>
        <w:t>______</w:t>
      </w:r>
      <w:r w:rsidR="00D80A1D" w:rsidRPr="004D3295">
        <w:rPr>
          <w:rFonts w:ascii="Arial" w:hAnsi="Arial" w:cs="Arial"/>
          <w:sz w:val="24"/>
          <w:szCs w:val="24"/>
        </w:rPr>
        <w:t>.</w:t>
      </w:r>
      <w:r>
        <w:rPr>
          <w:rFonts w:ascii="Arial" w:hAnsi="Arial" w:cs="Arial"/>
          <w:sz w:val="24"/>
          <w:szCs w:val="24"/>
        </w:rPr>
        <w:t xml:space="preserve"> </w:t>
      </w:r>
      <w:r w:rsidR="00D80A1D" w:rsidRPr="004D3295">
        <w:rPr>
          <w:rFonts w:ascii="Arial" w:hAnsi="Arial" w:cs="Arial"/>
          <w:b/>
          <w:iCs/>
          <w:color w:val="000000"/>
          <w:sz w:val="24"/>
          <w:szCs w:val="24"/>
        </w:rPr>
        <w:t>Código Civil Comentado</w:t>
      </w:r>
      <w:r w:rsidR="00D80A1D" w:rsidRPr="004D3295">
        <w:rPr>
          <w:rFonts w:ascii="Arial" w:hAnsi="Arial" w:cs="Arial"/>
          <w:iCs/>
          <w:color w:val="000000"/>
          <w:sz w:val="24"/>
          <w:szCs w:val="24"/>
        </w:rPr>
        <w:t xml:space="preserve"> </w:t>
      </w:r>
      <w:r w:rsidR="00D80A1D" w:rsidRPr="004D3295">
        <w:rPr>
          <w:rFonts w:ascii="Arial" w:hAnsi="Arial" w:cs="Arial"/>
          <w:b/>
          <w:iCs/>
          <w:color w:val="000000"/>
          <w:sz w:val="24"/>
          <w:szCs w:val="24"/>
        </w:rPr>
        <w:t xml:space="preserve">– Doutrina </w:t>
      </w:r>
      <w:r w:rsidR="00D80A1D" w:rsidRPr="004D3295">
        <w:rPr>
          <w:rFonts w:ascii="Arial" w:hAnsi="Arial" w:cs="Arial"/>
          <w:b/>
          <w:iCs/>
          <w:sz w:val="24"/>
          <w:szCs w:val="24"/>
        </w:rPr>
        <w:t>e Jurisprudência.</w:t>
      </w:r>
      <w:r w:rsidR="00D80A1D" w:rsidRPr="004D3295">
        <w:rPr>
          <w:rFonts w:ascii="Arial" w:hAnsi="Arial" w:cs="Arial"/>
          <w:iCs/>
          <w:sz w:val="24"/>
          <w:szCs w:val="24"/>
        </w:rPr>
        <w:t xml:space="preserve"> Ed. M</w:t>
      </w:r>
      <w:r w:rsidR="00D80A1D">
        <w:rPr>
          <w:rFonts w:ascii="Arial" w:hAnsi="Arial" w:cs="Arial"/>
          <w:iCs/>
          <w:sz w:val="24"/>
          <w:szCs w:val="24"/>
        </w:rPr>
        <w:t>anole, São Paulo, 1ª ed., 2007.</w:t>
      </w:r>
    </w:p>
    <w:p w:rsidR="006A5FC0" w:rsidRPr="004D3295" w:rsidRDefault="006A5FC0" w:rsidP="006A5FC0">
      <w:pPr>
        <w:tabs>
          <w:tab w:val="left" w:pos="4830"/>
        </w:tabs>
        <w:jc w:val="both"/>
        <w:rPr>
          <w:rFonts w:ascii="Arial" w:hAnsi="Arial" w:cs="Arial"/>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PEREIRA, Caio Mário da Silva. </w:t>
      </w:r>
      <w:r w:rsidR="006A5FC0">
        <w:rPr>
          <w:rFonts w:ascii="Arial" w:hAnsi="Arial" w:cs="Arial"/>
          <w:b/>
          <w:sz w:val="24"/>
          <w:szCs w:val="24"/>
        </w:rPr>
        <w:t xml:space="preserve">Instituições de Direito Civil – </w:t>
      </w:r>
      <w:r w:rsidRPr="004D3295">
        <w:rPr>
          <w:rFonts w:ascii="Arial" w:hAnsi="Arial" w:cs="Arial"/>
          <w:b/>
          <w:sz w:val="24"/>
          <w:szCs w:val="24"/>
        </w:rPr>
        <w:t>Direito das Sucessões</w:t>
      </w:r>
      <w:r w:rsidRPr="004D3295">
        <w:rPr>
          <w:rFonts w:ascii="Arial" w:hAnsi="Arial" w:cs="Arial"/>
          <w:sz w:val="24"/>
          <w:szCs w:val="24"/>
        </w:rPr>
        <w:t>. 15ª ed., atualizada. Rio de Janeir</w:t>
      </w:r>
      <w:r w:rsidR="006A5FC0">
        <w:rPr>
          <w:rFonts w:ascii="Arial" w:hAnsi="Arial" w:cs="Arial"/>
          <w:sz w:val="24"/>
          <w:szCs w:val="24"/>
        </w:rPr>
        <w:t>o: Forense, 2004. V. VI.</w:t>
      </w:r>
    </w:p>
    <w:p w:rsidR="006A5FC0" w:rsidRPr="004D3295" w:rsidRDefault="006A5FC0" w:rsidP="006A5FC0">
      <w:pPr>
        <w:tabs>
          <w:tab w:val="left" w:pos="4830"/>
        </w:tabs>
        <w:jc w:val="both"/>
        <w:rPr>
          <w:rFonts w:ascii="Arial" w:hAnsi="Arial" w:cs="Arial"/>
          <w:sz w:val="24"/>
          <w:szCs w:val="24"/>
        </w:rPr>
      </w:pPr>
    </w:p>
    <w:p w:rsidR="00D80A1D" w:rsidRDefault="006A5FC0" w:rsidP="006A5FC0">
      <w:pPr>
        <w:pStyle w:val="Textodenotaderodap"/>
        <w:spacing w:line="360" w:lineRule="auto"/>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 xml:space="preserve">Instituições de Direito Civil. </w:t>
      </w:r>
      <w:r w:rsidR="00D80A1D" w:rsidRPr="004D3295">
        <w:rPr>
          <w:rFonts w:ascii="Arial" w:hAnsi="Arial" w:cs="Arial"/>
          <w:sz w:val="24"/>
          <w:szCs w:val="24"/>
        </w:rPr>
        <w:t>Vol. 6. 11ª ed. Rio de Janeiro: Forense, 1996.</w:t>
      </w:r>
    </w:p>
    <w:p w:rsidR="006A5FC0" w:rsidRPr="004D3295" w:rsidRDefault="006A5FC0" w:rsidP="006A5FC0">
      <w:pPr>
        <w:pStyle w:val="Textodenotaderodap"/>
        <w:spacing w:line="360" w:lineRule="auto"/>
        <w:jc w:val="both"/>
        <w:rPr>
          <w:rFonts w:ascii="Arial" w:hAnsi="Arial" w:cs="Arial"/>
          <w:sz w:val="24"/>
          <w:szCs w:val="24"/>
        </w:rPr>
      </w:pPr>
    </w:p>
    <w:p w:rsidR="006A5FC0"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PONTES DE MIRANDA, F. C. </w:t>
      </w:r>
      <w:r w:rsidRPr="004D3295">
        <w:rPr>
          <w:rFonts w:ascii="Arial" w:hAnsi="Arial" w:cs="Arial"/>
          <w:b/>
          <w:sz w:val="24"/>
          <w:szCs w:val="24"/>
        </w:rPr>
        <w:t>Comentários ao Código de Processo Civil</w:t>
      </w:r>
      <w:r w:rsidRPr="004D3295">
        <w:rPr>
          <w:rFonts w:ascii="Arial" w:hAnsi="Arial" w:cs="Arial"/>
          <w:sz w:val="24"/>
          <w:szCs w:val="24"/>
        </w:rPr>
        <w:t>. Rio de Janeiro: Forense, 1974, v. IV.</w:t>
      </w:r>
    </w:p>
    <w:p w:rsidR="006A5FC0" w:rsidRDefault="006A5FC0" w:rsidP="006A5FC0">
      <w:pPr>
        <w:tabs>
          <w:tab w:val="left" w:pos="4830"/>
        </w:tabs>
        <w:jc w:val="both"/>
        <w:rPr>
          <w:rFonts w:ascii="Arial" w:hAnsi="Arial" w:cs="Arial"/>
          <w:sz w:val="24"/>
          <w:szCs w:val="24"/>
        </w:rPr>
      </w:pPr>
    </w:p>
    <w:p w:rsidR="00D80A1D" w:rsidRDefault="006A5FC0" w:rsidP="006A5FC0">
      <w:pPr>
        <w:tabs>
          <w:tab w:val="left" w:pos="4830"/>
        </w:tabs>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bCs/>
          <w:sz w:val="24"/>
          <w:szCs w:val="24"/>
        </w:rPr>
        <w:t>Tratado de Direito Privado</w:t>
      </w:r>
      <w:r w:rsidR="00D80A1D" w:rsidRPr="004D3295">
        <w:rPr>
          <w:rFonts w:ascii="Arial" w:hAnsi="Arial" w:cs="Arial"/>
          <w:sz w:val="24"/>
          <w:szCs w:val="24"/>
        </w:rPr>
        <w:t>: parte geral. Vol. 8 – Rio de Janeiro: Borsoi, 1971.</w:t>
      </w:r>
    </w:p>
    <w:p w:rsidR="006A5FC0" w:rsidRPr="004D3295" w:rsidRDefault="006A5FC0" w:rsidP="006A5FC0">
      <w:pPr>
        <w:tabs>
          <w:tab w:val="left" w:pos="4830"/>
        </w:tabs>
        <w:jc w:val="both"/>
        <w:rPr>
          <w:rFonts w:ascii="Arial" w:hAnsi="Arial" w:cs="Arial"/>
          <w:sz w:val="24"/>
          <w:szCs w:val="24"/>
        </w:rPr>
      </w:pPr>
    </w:p>
    <w:p w:rsidR="00D80A1D" w:rsidRDefault="00D80A1D" w:rsidP="006A5FC0">
      <w:pPr>
        <w:autoSpaceDE w:val="0"/>
        <w:autoSpaceDN w:val="0"/>
        <w:adjustRightInd w:val="0"/>
        <w:jc w:val="both"/>
        <w:rPr>
          <w:rFonts w:ascii="Arial" w:hAnsi="Arial" w:cs="Arial"/>
          <w:sz w:val="24"/>
          <w:szCs w:val="24"/>
        </w:rPr>
      </w:pPr>
      <w:r w:rsidRPr="004D3295">
        <w:rPr>
          <w:rFonts w:ascii="Arial" w:hAnsi="Arial" w:cs="Arial"/>
          <w:sz w:val="24"/>
          <w:szCs w:val="24"/>
        </w:rPr>
        <w:t xml:space="preserve">REALE, Miguel. </w:t>
      </w:r>
      <w:r w:rsidRPr="004D3295">
        <w:rPr>
          <w:rFonts w:ascii="Arial" w:hAnsi="Arial" w:cs="Arial"/>
          <w:b/>
          <w:iCs/>
          <w:sz w:val="24"/>
          <w:szCs w:val="24"/>
        </w:rPr>
        <w:t>Estudos Preliminares do Código Civil</w:t>
      </w:r>
      <w:r w:rsidRPr="004D3295">
        <w:rPr>
          <w:rFonts w:ascii="Arial" w:hAnsi="Arial" w:cs="Arial"/>
          <w:sz w:val="24"/>
          <w:szCs w:val="24"/>
        </w:rPr>
        <w:t>. São Paulo: Editora Revista dos Tr</w:t>
      </w:r>
      <w:r>
        <w:rPr>
          <w:rFonts w:ascii="Arial" w:hAnsi="Arial" w:cs="Arial"/>
          <w:sz w:val="24"/>
          <w:szCs w:val="24"/>
        </w:rPr>
        <w:t>ibunais, 2003.</w:t>
      </w:r>
    </w:p>
    <w:p w:rsidR="006A5FC0" w:rsidRPr="004D3295" w:rsidRDefault="006A5FC0" w:rsidP="006A5FC0">
      <w:pPr>
        <w:autoSpaceDE w:val="0"/>
        <w:autoSpaceDN w:val="0"/>
        <w:adjustRightInd w:val="0"/>
        <w:jc w:val="both"/>
        <w:rPr>
          <w:rFonts w:ascii="Arial" w:hAnsi="Arial" w:cs="Arial"/>
          <w:sz w:val="24"/>
          <w:szCs w:val="24"/>
        </w:rPr>
      </w:pPr>
    </w:p>
    <w:p w:rsidR="00D80A1D" w:rsidRDefault="00D80A1D" w:rsidP="006A5FC0">
      <w:pPr>
        <w:tabs>
          <w:tab w:val="left" w:pos="4830"/>
        </w:tabs>
        <w:jc w:val="both"/>
        <w:rPr>
          <w:rFonts w:ascii="Arial" w:hAnsi="Arial" w:cs="Arial"/>
          <w:color w:val="000000"/>
          <w:sz w:val="24"/>
          <w:szCs w:val="24"/>
        </w:rPr>
      </w:pPr>
      <w:r w:rsidRPr="004D3295">
        <w:rPr>
          <w:rFonts w:ascii="Arial" w:hAnsi="Arial" w:cs="Arial"/>
          <w:sz w:val="24"/>
          <w:szCs w:val="24"/>
        </w:rPr>
        <w:t xml:space="preserve">REALE, Miguel; COSTA, Judith Martins. </w:t>
      </w:r>
      <w:r w:rsidRPr="004D3295">
        <w:rPr>
          <w:rFonts w:ascii="Arial" w:hAnsi="Arial" w:cs="Arial"/>
          <w:b/>
          <w:iCs/>
          <w:color w:val="000000"/>
          <w:sz w:val="24"/>
          <w:szCs w:val="24"/>
        </w:rPr>
        <w:t>Casamento sob o regime da separação de bens, voluntariamente escolhido pelos nubentes. Compreensão do fenômeno sucessório e seus critérios hermenêuticos. A força normativa do pacto antenupcial.</w:t>
      </w:r>
      <w:r w:rsidRPr="004D3295">
        <w:rPr>
          <w:rFonts w:ascii="Arial" w:hAnsi="Arial" w:cs="Arial"/>
          <w:iCs/>
          <w:color w:val="000000"/>
          <w:sz w:val="24"/>
          <w:szCs w:val="24"/>
        </w:rPr>
        <w:t xml:space="preserve"> </w:t>
      </w:r>
      <w:r w:rsidRPr="004D3295">
        <w:rPr>
          <w:rFonts w:ascii="Arial" w:hAnsi="Arial" w:cs="Arial"/>
          <w:color w:val="000000"/>
          <w:sz w:val="24"/>
          <w:szCs w:val="24"/>
        </w:rPr>
        <w:t>Revista Trimestral de Direito Civil, Ano 6, vol. 24, outubro a dezembro de 2005. Rio de Janeiro: Ed. Padma, 2005</w:t>
      </w:r>
      <w:r>
        <w:rPr>
          <w:rFonts w:ascii="Arial" w:hAnsi="Arial" w:cs="Arial"/>
          <w:color w:val="000000"/>
          <w:sz w:val="24"/>
          <w:szCs w:val="24"/>
        </w:rPr>
        <w:t>.</w:t>
      </w:r>
    </w:p>
    <w:p w:rsidR="003A4543" w:rsidRDefault="003A4543" w:rsidP="006A5FC0">
      <w:pPr>
        <w:tabs>
          <w:tab w:val="left" w:pos="4830"/>
        </w:tabs>
        <w:jc w:val="both"/>
        <w:rPr>
          <w:rFonts w:ascii="Arial" w:hAnsi="Arial" w:cs="Arial"/>
          <w:color w:val="000000"/>
          <w:sz w:val="24"/>
          <w:szCs w:val="24"/>
        </w:rPr>
      </w:pPr>
    </w:p>
    <w:p w:rsidR="00362924" w:rsidRPr="007C3CC2" w:rsidRDefault="00362924" w:rsidP="00362924">
      <w:pPr>
        <w:pStyle w:val="Textodenotaderodap"/>
        <w:jc w:val="both"/>
        <w:rPr>
          <w:rFonts w:ascii="Arial" w:hAnsi="Arial" w:cs="Arial"/>
        </w:rPr>
      </w:pPr>
      <w:r w:rsidRPr="00362924">
        <w:rPr>
          <w:rFonts w:ascii="Arial" w:hAnsi="Arial" w:cs="Arial"/>
          <w:sz w:val="24"/>
          <w:szCs w:val="24"/>
        </w:rPr>
        <w:lastRenderedPageBreak/>
        <w:t xml:space="preserve">SIMÃO, José Fernando. </w:t>
      </w:r>
      <w:r w:rsidRPr="00362924">
        <w:rPr>
          <w:rFonts w:ascii="Arial" w:hAnsi="Arial" w:cs="Arial"/>
          <w:b/>
          <w:sz w:val="24"/>
          <w:szCs w:val="24"/>
        </w:rPr>
        <w:t>Questões Controvertidas – a mudança do regime de bens.</w:t>
      </w:r>
      <w:r w:rsidRPr="00362924">
        <w:rPr>
          <w:rFonts w:ascii="Arial" w:hAnsi="Arial" w:cs="Arial"/>
          <w:sz w:val="24"/>
          <w:szCs w:val="24"/>
        </w:rPr>
        <w:t xml:space="preserve"> Disponível em &lt;</w:t>
      </w:r>
      <w:hyperlink r:id="rId17" w:history="1">
        <w:r w:rsidRPr="00362924">
          <w:rPr>
            <w:rStyle w:val="Hyperlink"/>
            <w:rFonts w:ascii="Arial" w:hAnsi="Arial" w:cs="Arial"/>
            <w:color w:val="auto"/>
            <w:sz w:val="24"/>
            <w:szCs w:val="24"/>
            <w:u w:val="none"/>
          </w:rPr>
          <w:t>http://professorsimao.com.br/artigos_simao_regime_bens_03.htm</w:t>
        </w:r>
      </w:hyperlink>
      <w:r w:rsidRPr="00362924">
        <w:rPr>
          <w:rFonts w:ascii="Arial" w:hAnsi="Arial" w:cs="Arial"/>
          <w:sz w:val="24"/>
          <w:szCs w:val="24"/>
        </w:rPr>
        <w:t>&gt;; Acesso em 01 nov. 2019</w:t>
      </w:r>
      <w:r>
        <w:rPr>
          <w:rFonts w:ascii="Arial" w:hAnsi="Arial" w:cs="Arial"/>
        </w:rPr>
        <w:t>.</w:t>
      </w:r>
    </w:p>
    <w:p w:rsidR="00362924" w:rsidRDefault="00362924" w:rsidP="006A5FC0">
      <w:pPr>
        <w:tabs>
          <w:tab w:val="left" w:pos="4830"/>
        </w:tabs>
        <w:jc w:val="both"/>
        <w:rPr>
          <w:rFonts w:ascii="Arial" w:hAnsi="Arial" w:cs="Arial"/>
          <w:color w:val="000000"/>
          <w:sz w:val="24"/>
          <w:szCs w:val="24"/>
        </w:rPr>
      </w:pPr>
    </w:p>
    <w:p w:rsidR="003A4543" w:rsidRPr="003A4543" w:rsidRDefault="00362924" w:rsidP="00C47F09">
      <w:pPr>
        <w:pStyle w:val="Textodenotaderodap"/>
        <w:spacing w:line="360" w:lineRule="auto"/>
        <w:jc w:val="both"/>
        <w:rPr>
          <w:rFonts w:ascii="Arial" w:hAnsi="Arial" w:cs="Arial"/>
          <w:sz w:val="24"/>
          <w:szCs w:val="24"/>
        </w:rPr>
      </w:pPr>
      <w:r>
        <w:rPr>
          <w:sz w:val="23"/>
          <w:szCs w:val="23"/>
        </w:rPr>
        <w:t>______</w:t>
      </w:r>
      <w:r w:rsidR="003A4543" w:rsidRPr="003A4543">
        <w:rPr>
          <w:rFonts w:ascii="Arial" w:hAnsi="Arial" w:cs="Arial"/>
          <w:sz w:val="24"/>
          <w:szCs w:val="24"/>
        </w:rPr>
        <w:t xml:space="preserve">. </w:t>
      </w:r>
      <w:r w:rsidR="003A4543" w:rsidRPr="003A4543">
        <w:rPr>
          <w:rFonts w:ascii="Arial" w:hAnsi="Arial" w:cs="Arial"/>
          <w:color w:val="000000"/>
          <w:sz w:val="24"/>
          <w:szCs w:val="24"/>
        </w:rPr>
        <w:t>Repensando a noção de pact</w:t>
      </w:r>
      <w:r w:rsidR="003A4543" w:rsidRPr="003A4543">
        <w:rPr>
          <w:rFonts w:ascii="Arial" w:hAnsi="Arial" w:cs="Arial"/>
          <w:bCs/>
          <w:color w:val="000000"/>
          <w:sz w:val="24"/>
          <w:szCs w:val="24"/>
        </w:rPr>
        <w:t xml:space="preserve">o sucessório: de "lege ferenda". </w:t>
      </w:r>
      <w:r w:rsidR="003A4543" w:rsidRPr="003A4543">
        <w:rPr>
          <w:rFonts w:ascii="Arial" w:hAnsi="Arial" w:cs="Arial"/>
          <w:b/>
          <w:bCs/>
          <w:color w:val="000000"/>
          <w:sz w:val="24"/>
          <w:szCs w:val="24"/>
        </w:rPr>
        <w:t xml:space="preserve">Jornal Carta Forense. </w:t>
      </w:r>
      <w:r w:rsidR="003A4543" w:rsidRPr="003A4543">
        <w:rPr>
          <w:rFonts w:ascii="Arial" w:hAnsi="Arial" w:cs="Arial"/>
          <w:sz w:val="24"/>
          <w:szCs w:val="24"/>
        </w:rPr>
        <w:t xml:space="preserve">Disponível em: </w:t>
      </w:r>
      <w:r w:rsidR="003A4543" w:rsidRPr="003A4543">
        <w:rPr>
          <w:rFonts w:ascii="Arial" w:hAnsi="Arial" w:cs="Arial"/>
          <w:color w:val="000000" w:themeColor="text1"/>
          <w:sz w:val="24"/>
          <w:szCs w:val="24"/>
        </w:rPr>
        <w:t>&lt;</w:t>
      </w:r>
      <w:hyperlink r:id="rId18" w:history="1">
        <w:r w:rsidR="003A4543" w:rsidRPr="003A4543">
          <w:rPr>
            <w:rStyle w:val="Hyperlink"/>
            <w:rFonts w:ascii="Arial" w:hAnsi="Arial" w:cs="Arial"/>
            <w:color w:val="000000" w:themeColor="text1"/>
            <w:sz w:val="24"/>
            <w:szCs w:val="24"/>
            <w:u w:val="none"/>
          </w:rPr>
          <w:t>http://www.cartaforense.com.br/conteudo/colunas/repensando-a-nocao-de-pacto-sucessorio-de-lege-ferenda/17320</w:t>
        </w:r>
      </w:hyperlink>
      <w:r w:rsidR="003A4543" w:rsidRPr="003A4543">
        <w:rPr>
          <w:rFonts w:ascii="Arial" w:hAnsi="Arial" w:cs="Arial"/>
          <w:color w:val="000000" w:themeColor="text1"/>
          <w:sz w:val="24"/>
          <w:szCs w:val="24"/>
        </w:rPr>
        <w:t xml:space="preserve">&gt;. </w:t>
      </w:r>
      <w:r w:rsidR="003A4543" w:rsidRPr="003A4543">
        <w:rPr>
          <w:rFonts w:ascii="Arial" w:hAnsi="Arial" w:cs="Arial"/>
          <w:sz w:val="24"/>
          <w:szCs w:val="24"/>
        </w:rPr>
        <w:t>Acesso em 04 nov. 2019.</w:t>
      </w:r>
    </w:p>
    <w:p w:rsidR="006A5FC0" w:rsidRPr="004D3295" w:rsidRDefault="006A5FC0" w:rsidP="006A5FC0">
      <w:pPr>
        <w:tabs>
          <w:tab w:val="left" w:pos="4830"/>
        </w:tabs>
        <w:jc w:val="both"/>
        <w:rPr>
          <w:rFonts w:ascii="Arial" w:hAnsi="Arial" w:cs="Arial"/>
          <w:color w:val="000000"/>
          <w:sz w:val="24"/>
          <w:szCs w:val="24"/>
        </w:rPr>
      </w:pPr>
    </w:p>
    <w:p w:rsidR="00D80A1D" w:rsidRDefault="00D80A1D" w:rsidP="006A5FC0">
      <w:pPr>
        <w:tabs>
          <w:tab w:val="left" w:pos="4830"/>
        </w:tabs>
        <w:jc w:val="both"/>
        <w:rPr>
          <w:rFonts w:ascii="Arial" w:hAnsi="Arial" w:cs="Arial"/>
          <w:sz w:val="24"/>
          <w:szCs w:val="24"/>
        </w:rPr>
      </w:pPr>
      <w:r w:rsidRPr="004D3295">
        <w:rPr>
          <w:rFonts w:ascii="Arial" w:hAnsi="Arial" w:cs="Arial"/>
          <w:sz w:val="24"/>
          <w:szCs w:val="24"/>
        </w:rPr>
        <w:t xml:space="preserve">TARTUCE, Flávio. </w:t>
      </w:r>
      <w:r w:rsidRPr="004D3295">
        <w:rPr>
          <w:rFonts w:ascii="Arial" w:hAnsi="Arial" w:cs="Arial"/>
          <w:b/>
          <w:iCs/>
          <w:sz w:val="24"/>
          <w:szCs w:val="24"/>
        </w:rPr>
        <w:t>Direito Civil: direito das sucessões</w:t>
      </w:r>
      <w:r w:rsidRPr="004D3295">
        <w:rPr>
          <w:rFonts w:ascii="Arial" w:hAnsi="Arial" w:cs="Arial"/>
          <w:sz w:val="24"/>
          <w:szCs w:val="24"/>
        </w:rPr>
        <w:t>. Vol. 6. 6ª ed. São P</w:t>
      </w:r>
      <w:r>
        <w:rPr>
          <w:rFonts w:ascii="Arial" w:hAnsi="Arial" w:cs="Arial"/>
          <w:sz w:val="24"/>
          <w:szCs w:val="24"/>
        </w:rPr>
        <w:t>aulo: Método, 2013.</w:t>
      </w:r>
    </w:p>
    <w:p w:rsidR="006A5FC0" w:rsidRPr="004D3295" w:rsidRDefault="006A5FC0" w:rsidP="006A5FC0">
      <w:pPr>
        <w:tabs>
          <w:tab w:val="left" w:pos="4830"/>
        </w:tabs>
        <w:jc w:val="both"/>
        <w:rPr>
          <w:rFonts w:ascii="Arial" w:hAnsi="Arial" w:cs="Arial"/>
          <w:sz w:val="24"/>
          <w:szCs w:val="24"/>
        </w:rPr>
      </w:pPr>
    </w:p>
    <w:p w:rsidR="00D80A1D" w:rsidRDefault="006A5FC0" w:rsidP="006A5FC0">
      <w:pPr>
        <w:autoSpaceDE w:val="0"/>
        <w:autoSpaceDN w:val="0"/>
        <w:adjustRightInd w:val="0"/>
        <w:jc w:val="left"/>
        <w:rPr>
          <w:rFonts w:ascii="Arial" w:eastAsia="ArialMT"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 xml:space="preserve">Manual de Direito Civil. </w:t>
      </w:r>
      <w:r w:rsidR="00D80A1D" w:rsidRPr="004D3295">
        <w:rPr>
          <w:rFonts w:ascii="Arial" w:hAnsi="Arial" w:cs="Arial"/>
          <w:sz w:val="24"/>
          <w:szCs w:val="24"/>
        </w:rPr>
        <w:t xml:space="preserve">Volume único, </w:t>
      </w:r>
      <w:r w:rsidR="00D80A1D" w:rsidRPr="004D3295">
        <w:rPr>
          <w:rFonts w:ascii="Arial" w:eastAsia="ArialMT" w:hAnsi="Arial" w:cs="Arial"/>
          <w:sz w:val="24"/>
          <w:szCs w:val="24"/>
        </w:rPr>
        <w:t>8ª. ed. rev, atual. e ampl. – Rio de Janeiro: Forense; São Paulo: Método, 2018.</w:t>
      </w:r>
    </w:p>
    <w:p w:rsidR="006A5FC0" w:rsidRPr="004D3295" w:rsidRDefault="006A5FC0" w:rsidP="006A5FC0">
      <w:pPr>
        <w:autoSpaceDE w:val="0"/>
        <w:autoSpaceDN w:val="0"/>
        <w:adjustRightInd w:val="0"/>
        <w:jc w:val="left"/>
        <w:rPr>
          <w:rFonts w:ascii="Arial" w:hAnsi="Arial" w:cs="Arial"/>
          <w:sz w:val="24"/>
          <w:szCs w:val="24"/>
        </w:rPr>
      </w:pPr>
    </w:p>
    <w:p w:rsidR="00D80A1D" w:rsidRDefault="00D80A1D" w:rsidP="006A5FC0">
      <w:pPr>
        <w:tabs>
          <w:tab w:val="right" w:pos="9072"/>
        </w:tabs>
        <w:autoSpaceDE w:val="0"/>
        <w:autoSpaceDN w:val="0"/>
        <w:adjustRightInd w:val="0"/>
        <w:jc w:val="both"/>
        <w:rPr>
          <w:rFonts w:ascii="Arial" w:hAnsi="Arial" w:cs="Arial"/>
          <w:iCs/>
          <w:color w:val="000000"/>
          <w:sz w:val="24"/>
          <w:szCs w:val="24"/>
        </w:rPr>
      </w:pPr>
      <w:r w:rsidRPr="004D3295">
        <w:rPr>
          <w:rFonts w:ascii="Arial" w:hAnsi="Arial" w:cs="Arial"/>
          <w:iCs/>
          <w:color w:val="000000"/>
          <w:sz w:val="24"/>
          <w:szCs w:val="24"/>
        </w:rPr>
        <w:t>TEIXEIRA, Sálvio de Figueiredo.</w:t>
      </w:r>
      <w:r w:rsidRPr="004D3295">
        <w:rPr>
          <w:rFonts w:ascii="Arial" w:hAnsi="Arial" w:cs="Arial"/>
          <w:b/>
          <w:iCs/>
          <w:color w:val="000000"/>
          <w:sz w:val="24"/>
          <w:szCs w:val="24"/>
        </w:rPr>
        <w:t xml:space="preserve"> Comentários ao Novo Código Civil.</w:t>
      </w:r>
      <w:r w:rsidRPr="004D3295">
        <w:rPr>
          <w:rFonts w:ascii="Arial" w:hAnsi="Arial" w:cs="Arial"/>
          <w:iCs/>
          <w:color w:val="000000"/>
          <w:sz w:val="24"/>
          <w:szCs w:val="24"/>
        </w:rPr>
        <w:t xml:space="preserve"> Vol. XXI, 5ª ed.</w:t>
      </w:r>
      <w:r>
        <w:rPr>
          <w:rFonts w:ascii="Arial" w:hAnsi="Arial" w:cs="Arial"/>
          <w:iCs/>
          <w:color w:val="000000"/>
          <w:sz w:val="24"/>
          <w:szCs w:val="24"/>
        </w:rPr>
        <w:t xml:space="preserve"> São Paulo: Ed. Forense, 2009.</w:t>
      </w:r>
    </w:p>
    <w:p w:rsidR="006A5FC0" w:rsidRPr="004D3295" w:rsidRDefault="006A5FC0" w:rsidP="006A5FC0">
      <w:pPr>
        <w:tabs>
          <w:tab w:val="right" w:pos="9072"/>
        </w:tabs>
        <w:autoSpaceDE w:val="0"/>
        <w:autoSpaceDN w:val="0"/>
        <w:adjustRightInd w:val="0"/>
        <w:jc w:val="both"/>
        <w:rPr>
          <w:rFonts w:ascii="Arial" w:hAnsi="Arial" w:cs="Arial"/>
          <w:iCs/>
          <w:color w:val="000000"/>
          <w:sz w:val="24"/>
          <w:szCs w:val="24"/>
        </w:rPr>
      </w:pPr>
    </w:p>
    <w:p w:rsidR="00D80A1D" w:rsidRDefault="00D80A1D" w:rsidP="006A5FC0">
      <w:pPr>
        <w:pStyle w:val="Textodenotaderodap"/>
        <w:spacing w:line="360" w:lineRule="auto"/>
        <w:jc w:val="both"/>
        <w:rPr>
          <w:rFonts w:ascii="Arial" w:hAnsi="Arial" w:cs="Arial"/>
          <w:sz w:val="24"/>
          <w:szCs w:val="24"/>
        </w:rPr>
      </w:pPr>
      <w:r w:rsidRPr="004D3295">
        <w:rPr>
          <w:rFonts w:ascii="Arial" w:hAnsi="Arial" w:cs="Arial"/>
          <w:sz w:val="24"/>
          <w:szCs w:val="24"/>
        </w:rPr>
        <w:t xml:space="preserve">TEPEDINO, Gustavo. Controvérsias sobre Regime de Bens no Novo Código Civil. </w:t>
      </w:r>
      <w:r w:rsidRPr="004D3295">
        <w:rPr>
          <w:rFonts w:ascii="Arial" w:hAnsi="Arial" w:cs="Arial"/>
          <w:b/>
          <w:sz w:val="24"/>
          <w:szCs w:val="24"/>
        </w:rPr>
        <w:t>IBDFAM – Instituto Brasileiro de Direito de Família.</w:t>
      </w:r>
      <w:r w:rsidRPr="004D3295">
        <w:rPr>
          <w:rFonts w:ascii="Arial" w:hAnsi="Arial" w:cs="Arial"/>
          <w:sz w:val="24"/>
          <w:szCs w:val="24"/>
        </w:rPr>
        <w:t xml:space="preserve"> Disponível em: &lt;</w:t>
      </w:r>
      <w:hyperlink r:id="rId19" w:history="1">
        <w:r w:rsidRPr="004D3295">
          <w:rPr>
            <w:rStyle w:val="Hyperlink"/>
            <w:rFonts w:ascii="Arial" w:hAnsi="Arial" w:cs="Arial"/>
            <w:color w:val="auto"/>
            <w:sz w:val="24"/>
            <w:szCs w:val="24"/>
            <w:u w:val="none"/>
          </w:rPr>
          <w:t>http://www.ibdfam.org.br/assets/upload/anais/186.pdf</w:t>
        </w:r>
      </w:hyperlink>
      <w:r w:rsidRPr="004D3295">
        <w:rPr>
          <w:rFonts w:ascii="Arial" w:hAnsi="Arial" w:cs="Arial"/>
          <w:sz w:val="24"/>
          <w:szCs w:val="24"/>
        </w:rPr>
        <w:t>&gt;. Acesso em 12 out. 2019.</w:t>
      </w:r>
    </w:p>
    <w:p w:rsidR="006A5FC0" w:rsidRPr="004D3295" w:rsidRDefault="006A5FC0" w:rsidP="006A5FC0">
      <w:pPr>
        <w:pStyle w:val="Textodenotaderodap"/>
        <w:spacing w:line="360" w:lineRule="auto"/>
        <w:jc w:val="both"/>
        <w:rPr>
          <w:rFonts w:ascii="Arial" w:hAnsi="Arial" w:cs="Arial"/>
          <w:sz w:val="24"/>
          <w:szCs w:val="24"/>
        </w:rPr>
      </w:pPr>
    </w:p>
    <w:p w:rsidR="00D80A1D" w:rsidRDefault="00D80A1D" w:rsidP="006A5FC0">
      <w:pPr>
        <w:tabs>
          <w:tab w:val="left" w:pos="4830"/>
        </w:tabs>
        <w:jc w:val="both"/>
        <w:rPr>
          <w:rFonts w:ascii="Arial" w:eastAsia="TimesNewRomanPSMT" w:hAnsi="Arial" w:cs="Arial"/>
          <w:sz w:val="24"/>
          <w:szCs w:val="24"/>
        </w:rPr>
      </w:pPr>
      <w:r w:rsidRPr="004D3295">
        <w:rPr>
          <w:rFonts w:ascii="Arial" w:hAnsi="Arial" w:cs="Arial"/>
          <w:sz w:val="24"/>
          <w:szCs w:val="24"/>
        </w:rPr>
        <w:t>VELOSO, Zeno</w:t>
      </w:r>
      <w:r w:rsidRPr="004D3295">
        <w:rPr>
          <w:rFonts w:ascii="Arial" w:eastAsia="TimesNewRomanPSMT" w:hAnsi="Arial" w:cs="Arial"/>
          <w:sz w:val="24"/>
          <w:szCs w:val="24"/>
        </w:rPr>
        <w:t xml:space="preserve">. </w:t>
      </w:r>
      <w:r w:rsidRPr="004D3295">
        <w:rPr>
          <w:rFonts w:ascii="Arial" w:hAnsi="Arial" w:cs="Arial"/>
          <w:b/>
          <w:iCs/>
          <w:sz w:val="24"/>
          <w:szCs w:val="24"/>
        </w:rPr>
        <w:t>Direito hereditário do cônjuge e do companheiro</w:t>
      </w:r>
      <w:r w:rsidRPr="004D3295">
        <w:rPr>
          <w:rFonts w:ascii="Arial" w:eastAsia="TimesNewRomanPSMT" w:hAnsi="Arial" w:cs="Arial"/>
          <w:b/>
          <w:sz w:val="24"/>
          <w:szCs w:val="24"/>
        </w:rPr>
        <w:t>.</w:t>
      </w:r>
      <w:r w:rsidRPr="004D3295">
        <w:rPr>
          <w:rFonts w:ascii="Arial" w:eastAsia="TimesNewRomanPSMT" w:hAnsi="Arial" w:cs="Arial"/>
          <w:sz w:val="24"/>
          <w:szCs w:val="24"/>
        </w:rPr>
        <w:t xml:space="preserve"> São Paulo: Saraiva, 2010</w:t>
      </w:r>
      <w:r>
        <w:rPr>
          <w:rFonts w:ascii="Arial" w:eastAsia="TimesNewRomanPSMT" w:hAnsi="Arial" w:cs="Arial"/>
          <w:sz w:val="24"/>
          <w:szCs w:val="24"/>
        </w:rPr>
        <w:t>.</w:t>
      </w:r>
    </w:p>
    <w:p w:rsidR="006A5FC0" w:rsidRPr="004D3295" w:rsidRDefault="006A5FC0" w:rsidP="006A5FC0">
      <w:pPr>
        <w:tabs>
          <w:tab w:val="left" w:pos="4830"/>
        </w:tabs>
        <w:jc w:val="both"/>
        <w:rPr>
          <w:rFonts w:ascii="Arial" w:hAnsi="Arial" w:cs="Arial"/>
          <w:sz w:val="24"/>
          <w:szCs w:val="24"/>
        </w:rPr>
      </w:pPr>
    </w:p>
    <w:p w:rsidR="00D80A1D" w:rsidRDefault="006A5FC0" w:rsidP="006A5FC0">
      <w:pPr>
        <w:pStyle w:val="Textodenotaderodap"/>
        <w:spacing w:line="360" w:lineRule="auto"/>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Novo Código Civil Comentado</w:t>
      </w:r>
      <w:r w:rsidR="00D80A1D" w:rsidRPr="004D3295">
        <w:rPr>
          <w:rFonts w:ascii="Arial" w:hAnsi="Arial" w:cs="Arial"/>
          <w:sz w:val="24"/>
          <w:szCs w:val="24"/>
        </w:rPr>
        <w:t>. 5ª ed. São Paulo: Saraiva, 2006.</w:t>
      </w:r>
    </w:p>
    <w:p w:rsidR="006A5FC0" w:rsidRPr="004D3295" w:rsidRDefault="006A5FC0" w:rsidP="006A5FC0">
      <w:pPr>
        <w:pStyle w:val="Textodenotaderodap"/>
        <w:spacing w:line="360" w:lineRule="auto"/>
        <w:jc w:val="both"/>
        <w:rPr>
          <w:rFonts w:ascii="Arial" w:hAnsi="Arial" w:cs="Arial"/>
          <w:sz w:val="24"/>
          <w:szCs w:val="24"/>
        </w:rPr>
      </w:pPr>
    </w:p>
    <w:p w:rsidR="00D80A1D" w:rsidRDefault="006A5FC0" w:rsidP="006A5FC0">
      <w:pPr>
        <w:tabs>
          <w:tab w:val="left" w:pos="4830"/>
        </w:tabs>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Regimes matrimoniais de bens</w:t>
      </w:r>
      <w:r w:rsidR="00D80A1D" w:rsidRPr="004D3295">
        <w:rPr>
          <w:rFonts w:ascii="Arial" w:hAnsi="Arial" w:cs="Arial"/>
          <w:sz w:val="24"/>
          <w:szCs w:val="24"/>
        </w:rPr>
        <w:t>. In: Direito de Família contemporâneo. Rodrigo da Cunha Pereira (Org.). Belo Horizonte: Del Rey, 1997</w:t>
      </w:r>
      <w:r>
        <w:rPr>
          <w:rFonts w:ascii="Arial" w:hAnsi="Arial" w:cs="Arial"/>
          <w:sz w:val="24"/>
          <w:szCs w:val="24"/>
        </w:rPr>
        <w:t>.</w:t>
      </w:r>
    </w:p>
    <w:p w:rsidR="006A5FC0" w:rsidRPr="004D3295" w:rsidRDefault="006A5FC0" w:rsidP="006A5FC0">
      <w:pPr>
        <w:tabs>
          <w:tab w:val="left" w:pos="4830"/>
        </w:tabs>
        <w:jc w:val="both"/>
        <w:rPr>
          <w:rFonts w:ascii="Arial" w:hAnsi="Arial" w:cs="Arial"/>
          <w:sz w:val="24"/>
          <w:szCs w:val="24"/>
        </w:rPr>
      </w:pPr>
    </w:p>
    <w:p w:rsidR="00D80A1D" w:rsidRDefault="00D80A1D" w:rsidP="006A5FC0">
      <w:pPr>
        <w:autoSpaceDE w:val="0"/>
        <w:autoSpaceDN w:val="0"/>
        <w:adjustRightInd w:val="0"/>
        <w:jc w:val="both"/>
        <w:rPr>
          <w:rFonts w:ascii="Arial" w:hAnsi="Arial" w:cs="Arial"/>
          <w:sz w:val="24"/>
          <w:szCs w:val="24"/>
        </w:rPr>
      </w:pPr>
      <w:r w:rsidRPr="004D3295">
        <w:rPr>
          <w:rFonts w:ascii="Arial" w:hAnsi="Arial" w:cs="Arial"/>
          <w:sz w:val="24"/>
          <w:szCs w:val="24"/>
        </w:rPr>
        <w:t xml:space="preserve">VENOSA, Silvio de Salvo. </w:t>
      </w:r>
      <w:r w:rsidRPr="004D3295">
        <w:rPr>
          <w:rFonts w:ascii="Arial" w:hAnsi="Arial" w:cs="Arial"/>
          <w:b/>
          <w:sz w:val="24"/>
          <w:szCs w:val="24"/>
        </w:rPr>
        <w:t>Código Civil Interpretado</w:t>
      </w:r>
      <w:r w:rsidR="006A5FC0">
        <w:rPr>
          <w:rFonts w:ascii="Arial" w:hAnsi="Arial" w:cs="Arial"/>
          <w:sz w:val="24"/>
          <w:szCs w:val="24"/>
        </w:rPr>
        <w:t>. Ed. Atlas, São Paulo, 2010.</w:t>
      </w:r>
    </w:p>
    <w:p w:rsidR="006A5FC0" w:rsidRPr="004D3295" w:rsidRDefault="006A5FC0" w:rsidP="006A5FC0">
      <w:pPr>
        <w:autoSpaceDE w:val="0"/>
        <w:autoSpaceDN w:val="0"/>
        <w:adjustRightInd w:val="0"/>
        <w:jc w:val="both"/>
        <w:rPr>
          <w:rFonts w:ascii="Arial" w:hAnsi="Arial" w:cs="Arial"/>
          <w:sz w:val="24"/>
          <w:szCs w:val="24"/>
        </w:rPr>
      </w:pPr>
    </w:p>
    <w:p w:rsidR="00D80A1D" w:rsidRPr="004D3295" w:rsidRDefault="006A5FC0" w:rsidP="006A5FC0">
      <w:pPr>
        <w:tabs>
          <w:tab w:val="left" w:pos="4830"/>
        </w:tabs>
        <w:jc w:val="both"/>
        <w:rPr>
          <w:rFonts w:ascii="Arial" w:hAnsi="Arial" w:cs="Arial"/>
          <w:sz w:val="24"/>
          <w:szCs w:val="24"/>
        </w:rPr>
      </w:pPr>
      <w:r>
        <w:rPr>
          <w:sz w:val="23"/>
          <w:szCs w:val="23"/>
        </w:rPr>
        <w:t>______</w:t>
      </w:r>
      <w:r w:rsidR="00D80A1D" w:rsidRPr="004D3295">
        <w:rPr>
          <w:rFonts w:ascii="Arial" w:hAnsi="Arial" w:cs="Arial"/>
          <w:sz w:val="24"/>
          <w:szCs w:val="24"/>
        </w:rPr>
        <w:t xml:space="preserve">. </w:t>
      </w:r>
      <w:r w:rsidR="00D80A1D" w:rsidRPr="004D3295">
        <w:rPr>
          <w:rFonts w:ascii="Arial" w:hAnsi="Arial" w:cs="Arial"/>
          <w:b/>
          <w:sz w:val="24"/>
          <w:szCs w:val="24"/>
        </w:rPr>
        <w:t xml:space="preserve">Direito Civil - Direito de Família. </w:t>
      </w:r>
      <w:r w:rsidR="00D80A1D" w:rsidRPr="004D3295">
        <w:rPr>
          <w:rFonts w:ascii="Arial" w:hAnsi="Arial" w:cs="Arial"/>
          <w:sz w:val="24"/>
          <w:szCs w:val="24"/>
        </w:rPr>
        <w:t>12ª Ed. São Paulo: Atlas, VI volume, 2012.</w:t>
      </w:r>
    </w:p>
    <w:sectPr w:rsidR="00D80A1D" w:rsidRPr="004D3295" w:rsidSect="001B6F90">
      <w:headerReference w:type="default" r:id="rId20"/>
      <w:pgSz w:w="11906" w:h="16838"/>
      <w:pgMar w:top="1417" w:right="1133" w:bottom="1417" w:left="1701" w:header="708" w:footer="708"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76C" w:rsidRDefault="0001576C" w:rsidP="00C47C28">
      <w:pPr>
        <w:spacing w:line="240" w:lineRule="auto"/>
      </w:pPr>
      <w:r>
        <w:separator/>
      </w:r>
    </w:p>
  </w:endnote>
  <w:endnote w:type="continuationSeparator" w:id="0">
    <w:p w:rsidR="0001576C" w:rsidRDefault="0001576C" w:rsidP="00C47C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76C" w:rsidRDefault="0001576C" w:rsidP="00A33BD0">
      <w:pPr>
        <w:spacing w:line="240" w:lineRule="auto"/>
        <w:jc w:val="both"/>
      </w:pPr>
      <w:r>
        <w:separator/>
      </w:r>
    </w:p>
  </w:footnote>
  <w:footnote w:type="continuationSeparator" w:id="0">
    <w:p w:rsidR="0001576C" w:rsidRDefault="0001576C" w:rsidP="00C47C28">
      <w:pPr>
        <w:spacing w:line="240" w:lineRule="auto"/>
      </w:pPr>
      <w:r>
        <w:continuationSeparator/>
      </w:r>
    </w:p>
  </w:footnote>
  <w:footnote w:id="1">
    <w:p w:rsidR="00E563F1" w:rsidRPr="00EF699C" w:rsidRDefault="00E563F1" w:rsidP="00113E0A">
      <w:pPr>
        <w:pStyle w:val="Textodenotaderodap"/>
        <w:jc w:val="both"/>
        <w:rPr>
          <w:rFonts w:ascii="Arial" w:hAnsi="Arial" w:cs="Arial"/>
        </w:rPr>
      </w:pPr>
      <w:r w:rsidRPr="00EF699C">
        <w:rPr>
          <w:rStyle w:val="Refdenotaderodap"/>
          <w:rFonts w:ascii="Arial" w:hAnsi="Arial" w:cs="Arial"/>
        </w:rPr>
        <w:footnoteRef/>
      </w:r>
      <w:r>
        <w:rPr>
          <w:rFonts w:ascii="Arial" w:hAnsi="Arial" w:cs="Arial"/>
        </w:rPr>
        <w:t xml:space="preserve"> </w:t>
      </w:r>
      <w:r w:rsidRPr="00EF699C">
        <w:rPr>
          <w:rFonts w:ascii="Arial" w:hAnsi="Arial" w:cs="Arial"/>
        </w:rPr>
        <w:t xml:space="preserve">VENOSA, Silvio de Salvo. </w:t>
      </w:r>
      <w:r w:rsidRPr="00EF699C">
        <w:rPr>
          <w:rFonts w:ascii="Arial" w:hAnsi="Arial" w:cs="Arial"/>
          <w:b/>
        </w:rPr>
        <w:t xml:space="preserve">Direito Civil - Direito de Família. </w:t>
      </w:r>
      <w:r w:rsidRPr="00EF699C">
        <w:rPr>
          <w:rFonts w:ascii="Arial" w:hAnsi="Arial" w:cs="Arial"/>
        </w:rPr>
        <w:t>12ª Ed. São Paulo: A</w:t>
      </w:r>
      <w:r>
        <w:rPr>
          <w:rFonts w:ascii="Arial" w:hAnsi="Arial" w:cs="Arial"/>
        </w:rPr>
        <w:t>tlas, VI volume, 2012, Pág. 327</w:t>
      </w:r>
      <w:r w:rsidRPr="00EF699C">
        <w:rPr>
          <w:rFonts w:ascii="Arial" w:hAnsi="Arial" w:cs="Arial"/>
        </w:rPr>
        <w:t>.</w:t>
      </w:r>
    </w:p>
  </w:footnote>
  <w:footnote w:id="2">
    <w:p w:rsidR="00E563F1" w:rsidRPr="00AB618B" w:rsidRDefault="00E563F1" w:rsidP="00113E0A">
      <w:pPr>
        <w:pStyle w:val="Textodenotaderodap"/>
        <w:jc w:val="both"/>
      </w:pPr>
      <w:r w:rsidRPr="00AB618B">
        <w:rPr>
          <w:rStyle w:val="Refdenotaderodap"/>
          <w:rFonts w:ascii="Arial" w:hAnsi="Arial" w:cs="Arial"/>
        </w:rPr>
        <w:footnoteRef/>
      </w:r>
      <w:r w:rsidRPr="00AB618B">
        <w:rPr>
          <w:rFonts w:ascii="Arial" w:hAnsi="Arial" w:cs="Arial"/>
        </w:rPr>
        <w:t xml:space="preserve"> A título de melhor enfoque, </w:t>
      </w:r>
      <w:r>
        <w:rPr>
          <w:rFonts w:ascii="Arial" w:hAnsi="Arial" w:cs="Arial"/>
        </w:rPr>
        <w:t>o regime da participação final nos aquestos não será abordado.</w:t>
      </w:r>
      <w:r w:rsidRPr="00AB618B">
        <w:t xml:space="preserve"> </w:t>
      </w:r>
    </w:p>
  </w:footnote>
  <w:footnote w:id="3">
    <w:p w:rsidR="00E563F1" w:rsidRPr="000C3CC1" w:rsidRDefault="00E563F1" w:rsidP="000C3CC1">
      <w:pPr>
        <w:pStyle w:val="Textodenotaderodap"/>
        <w:jc w:val="both"/>
        <w:rPr>
          <w:rFonts w:ascii="Arial" w:hAnsi="Arial" w:cs="Arial"/>
        </w:rPr>
      </w:pPr>
      <w:r w:rsidRPr="000C3CC1">
        <w:rPr>
          <w:rStyle w:val="Refdenotaderodap"/>
          <w:rFonts w:ascii="Arial" w:hAnsi="Arial" w:cs="Arial"/>
        </w:rPr>
        <w:footnoteRef/>
      </w:r>
      <w:r w:rsidRPr="000C3CC1">
        <w:rPr>
          <w:rFonts w:ascii="Arial" w:hAnsi="Arial" w:cs="Arial"/>
        </w:rPr>
        <w:t xml:space="preserve"> </w:t>
      </w:r>
      <w:r>
        <w:rPr>
          <w:rFonts w:ascii="Arial" w:hAnsi="Arial" w:cs="Arial"/>
        </w:rPr>
        <w:t>“</w:t>
      </w:r>
      <w:r w:rsidRPr="000C3CC1">
        <w:rPr>
          <w:rFonts w:ascii="Arial" w:hAnsi="Arial" w:cs="Arial"/>
        </w:rPr>
        <w:t xml:space="preserve">O regime de bens afigura-se tipicamente vinculado ao ato-condição solene que deflagra sua validade e eficácia: o casamento. Daí ter o codificador civil determinado a aplicação do regime de comunhão parcial de bens às uniões estáveis, </w:t>
      </w:r>
      <w:r w:rsidRPr="000C3CC1">
        <w:rPr>
          <w:rFonts w:ascii="Arial" w:hAnsi="Arial" w:cs="Arial"/>
          <w:i/>
        </w:rPr>
        <w:t>no que couber.</w:t>
      </w:r>
      <w:r w:rsidRPr="004862D4">
        <w:rPr>
          <w:rFonts w:ascii="Arial" w:hAnsi="Arial" w:cs="Arial"/>
        </w:rPr>
        <w:t>”</w:t>
      </w:r>
      <w:r w:rsidRPr="000C3CC1">
        <w:rPr>
          <w:rFonts w:ascii="Arial" w:hAnsi="Arial" w:cs="Arial"/>
          <w:i/>
        </w:rPr>
        <w:t xml:space="preserve"> </w:t>
      </w:r>
      <w:r w:rsidRPr="000C3CC1">
        <w:rPr>
          <w:rFonts w:ascii="Arial" w:hAnsi="Arial" w:cs="Arial"/>
        </w:rPr>
        <w:t xml:space="preserve">(TEPEDINO, Gustavo. </w:t>
      </w:r>
      <w:r w:rsidRPr="001903CE">
        <w:rPr>
          <w:rFonts w:ascii="Arial" w:hAnsi="Arial" w:cs="Arial"/>
        </w:rPr>
        <w:t>Controvérsias sobre Regime de Bens no Novo Código Civil</w:t>
      </w:r>
      <w:r w:rsidRPr="000C3CC1">
        <w:rPr>
          <w:rFonts w:ascii="Arial" w:hAnsi="Arial" w:cs="Arial"/>
        </w:rPr>
        <w:t>.</w:t>
      </w:r>
      <w:r>
        <w:rPr>
          <w:rFonts w:ascii="Arial" w:hAnsi="Arial" w:cs="Arial"/>
        </w:rPr>
        <w:t xml:space="preserve"> </w:t>
      </w:r>
      <w:r w:rsidRPr="001903CE">
        <w:rPr>
          <w:rFonts w:ascii="Arial" w:hAnsi="Arial" w:cs="Arial"/>
          <w:b/>
        </w:rPr>
        <w:t>IBDFAM – Instituto Brasileiro de Direito de Família.</w:t>
      </w:r>
      <w:r w:rsidRPr="000C3CC1">
        <w:rPr>
          <w:rFonts w:ascii="Arial" w:hAnsi="Arial" w:cs="Arial"/>
        </w:rPr>
        <w:t xml:space="preserve"> Disponível em: </w:t>
      </w:r>
      <w:r>
        <w:rPr>
          <w:rFonts w:ascii="Arial" w:hAnsi="Arial" w:cs="Arial"/>
        </w:rPr>
        <w:t>&lt;</w:t>
      </w:r>
      <w:hyperlink r:id="rId1" w:history="1">
        <w:r w:rsidRPr="000C3CC1">
          <w:rPr>
            <w:rStyle w:val="Hyperlink"/>
            <w:rFonts w:ascii="Arial" w:hAnsi="Arial" w:cs="Arial"/>
            <w:color w:val="auto"/>
            <w:u w:val="none"/>
          </w:rPr>
          <w:t>http://www.ibdfam.org.br/assets/upload/anais/186.pdf</w:t>
        </w:r>
      </w:hyperlink>
      <w:r>
        <w:rPr>
          <w:rFonts w:ascii="Arial" w:hAnsi="Arial" w:cs="Arial"/>
        </w:rPr>
        <w:t>&gt;. Acesso em 12 out. 2019.</w:t>
      </w:r>
    </w:p>
  </w:footnote>
  <w:footnote w:id="4">
    <w:p w:rsidR="00E563F1" w:rsidRDefault="00E563F1" w:rsidP="00060FB6">
      <w:pPr>
        <w:pStyle w:val="Textodenotaderodap"/>
        <w:jc w:val="both"/>
      </w:pPr>
      <w:r w:rsidRPr="00060FB6">
        <w:rPr>
          <w:rStyle w:val="Refdenotaderodap"/>
          <w:rFonts w:ascii="Arial" w:hAnsi="Arial" w:cs="Arial"/>
        </w:rPr>
        <w:footnoteRef/>
      </w:r>
      <w:r>
        <w:t xml:space="preserve"> </w:t>
      </w:r>
      <w:r w:rsidRPr="00EF699C">
        <w:rPr>
          <w:rFonts w:ascii="Arial" w:hAnsi="Arial" w:cs="Arial"/>
        </w:rPr>
        <w:t xml:space="preserve">VENOSA, Silvio de Salvo. </w:t>
      </w:r>
      <w:r w:rsidRPr="00EF699C">
        <w:rPr>
          <w:rFonts w:ascii="Arial" w:hAnsi="Arial" w:cs="Arial"/>
          <w:b/>
        </w:rPr>
        <w:t xml:space="preserve">Direito Civil - Direito de Família. </w:t>
      </w:r>
      <w:r w:rsidRPr="00EF699C">
        <w:rPr>
          <w:rFonts w:ascii="Arial" w:hAnsi="Arial" w:cs="Arial"/>
        </w:rPr>
        <w:t>12ª Ed. São Paulo: A</w:t>
      </w:r>
      <w:r>
        <w:rPr>
          <w:rFonts w:ascii="Arial" w:hAnsi="Arial" w:cs="Arial"/>
        </w:rPr>
        <w:t>tlas, VI volume, 2012, Pág. 327</w:t>
      </w:r>
      <w:r w:rsidRPr="00EF699C">
        <w:rPr>
          <w:rFonts w:ascii="Arial" w:hAnsi="Arial" w:cs="Arial"/>
        </w:rPr>
        <w:t>.</w:t>
      </w:r>
    </w:p>
  </w:footnote>
  <w:footnote w:id="5">
    <w:p w:rsidR="00E563F1" w:rsidRDefault="00E563F1" w:rsidP="00B2314E">
      <w:pPr>
        <w:pStyle w:val="Textodenotaderodap"/>
        <w:jc w:val="both"/>
      </w:pPr>
      <w:r w:rsidRPr="00B2314E">
        <w:rPr>
          <w:rStyle w:val="Refdenotaderodap"/>
          <w:rFonts w:ascii="Arial" w:hAnsi="Arial" w:cs="Arial"/>
        </w:rPr>
        <w:footnoteRef/>
      </w:r>
      <w:r w:rsidRPr="00B2314E">
        <w:rPr>
          <w:rFonts w:ascii="Arial" w:hAnsi="Arial" w:cs="Arial"/>
        </w:rPr>
        <w:t xml:space="preserve"> LÔBO, Paulo</w:t>
      </w:r>
      <w:r w:rsidRPr="00C600E3">
        <w:rPr>
          <w:rFonts w:ascii="Arial" w:hAnsi="Arial" w:cs="Arial"/>
        </w:rPr>
        <w:t xml:space="preserve">. </w:t>
      </w:r>
      <w:r w:rsidRPr="00C600E3">
        <w:rPr>
          <w:rFonts w:ascii="Arial" w:hAnsi="Arial" w:cs="Arial"/>
          <w:b/>
          <w:bCs/>
        </w:rPr>
        <w:t>Direito Civil</w:t>
      </w:r>
      <w:r w:rsidRPr="00C600E3">
        <w:rPr>
          <w:rFonts w:ascii="Arial" w:hAnsi="Arial" w:cs="Arial"/>
          <w:b/>
        </w:rPr>
        <w:t>: Famílias.</w:t>
      </w:r>
      <w:r w:rsidRPr="00C600E3">
        <w:rPr>
          <w:rFonts w:ascii="Arial" w:hAnsi="Arial" w:cs="Arial"/>
        </w:rPr>
        <w:t xml:space="preserve"> 4ª. ed. – São Paulo: Saraiva, 2011</w:t>
      </w:r>
      <w:r>
        <w:rPr>
          <w:rFonts w:ascii="Arial" w:hAnsi="Arial" w:cs="Arial"/>
        </w:rPr>
        <w:t>.</w:t>
      </w:r>
    </w:p>
  </w:footnote>
  <w:footnote w:id="6">
    <w:p w:rsidR="00E563F1" w:rsidRPr="00AB618B" w:rsidRDefault="00E563F1" w:rsidP="00173737">
      <w:pPr>
        <w:pStyle w:val="Textodenotaderodap"/>
        <w:jc w:val="both"/>
        <w:rPr>
          <w:rFonts w:ascii="Arial" w:hAnsi="Arial" w:cs="Arial"/>
        </w:rPr>
      </w:pPr>
      <w:r w:rsidRPr="00AB618B">
        <w:rPr>
          <w:rStyle w:val="Refdenotaderodap"/>
          <w:rFonts w:ascii="Arial" w:hAnsi="Arial" w:cs="Arial"/>
        </w:rPr>
        <w:footnoteRef/>
      </w:r>
      <w:r w:rsidRPr="00AB618B">
        <w:rPr>
          <w:rFonts w:ascii="Arial" w:hAnsi="Arial" w:cs="Arial"/>
        </w:rPr>
        <w:t xml:space="preserve"> </w:t>
      </w:r>
      <w:r w:rsidRPr="00CF2894">
        <w:rPr>
          <w:rFonts w:ascii="Arial" w:hAnsi="Arial" w:cs="Arial"/>
        </w:rPr>
        <w:t>BRASIL, Lei nº. 10.406/02.</w:t>
      </w:r>
      <w:r>
        <w:rPr>
          <w:rFonts w:ascii="Arial" w:hAnsi="Arial" w:cs="Arial"/>
        </w:rPr>
        <w:t xml:space="preserve"> Art. 1.639</w:t>
      </w:r>
      <w:r w:rsidRPr="00AB618B">
        <w:rPr>
          <w:rFonts w:ascii="Arial" w:hAnsi="Arial" w:cs="Arial"/>
        </w:rPr>
        <w:t xml:space="preserve">: É lícito aos nubentes, antes de celebrado o casamento, estipular, quanto aos seus bens, o que lhes aprouver. </w:t>
      </w:r>
    </w:p>
    <w:p w:rsidR="00E563F1" w:rsidRPr="00AB618B" w:rsidRDefault="00E563F1" w:rsidP="00173737">
      <w:pPr>
        <w:pStyle w:val="Textodenotaderodap"/>
        <w:jc w:val="both"/>
      </w:pPr>
      <w:r w:rsidRPr="00AB618B">
        <w:rPr>
          <w:rFonts w:ascii="Arial" w:hAnsi="Arial" w:cs="Arial"/>
        </w:rPr>
        <w:t>§ 2º. É admissível alteração do regime de bens, mediante autorização judicial em pedido motivado de ambos os cônjuges (...).</w:t>
      </w:r>
    </w:p>
  </w:footnote>
  <w:footnote w:id="7">
    <w:p w:rsidR="00E563F1" w:rsidRPr="00A115C8" w:rsidRDefault="00E563F1" w:rsidP="003264C9">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sz w:val="24"/>
          <w:szCs w:val="24"/>
        </w:rPr>
        <w:t xml:space="preserve"> </w:t>
      </w:r>
      <w:r w:rsidRPr="00A115C8">
        <w:rPr>
          <w:rFonts w:ascii="Arial" w:hAnsi="Arial" w:cs="Arial"/>
        </w:rPr>
        <w:t xml:space="preserve">CABRILLAC, Rémy. </w:t>
      </w:r>
      <w:r w:rsidRPr="00A115C8">
        <w:rPr>
          <w:rFonts w:ascii="Arial" w:hAnsi="Arial" w:cs="Arial"/>
          <w:b/>
        </w:rPr>
        <w:t>Droit Civil: Les régimes matrimoniaux</w:t>
      </w:r>
      <w:r w:rsidRPr="00A115C8">
        <w:rPr>
          <w:rFonts w:ascii="Arial" w:hAnsi="Arial" w:cs="Arial"/>
        </w:rPr>
        <w:t xml:space="preserve">. </w:t>
      </w:r>
      <w:r w:rsidRPr="00A115C8">
        <w:rPr>
          <w:rFonts w:ascii="Arial" w:hAnsi="Arial" w:cs="Arial"/>
          <w:lang w:val="en-US"/>
        </w:rPr>
        <w:t xml:space="preserve">Paris: Montchrestien, 2002, p. 89. In: LÔBO, Paulo. </w:t>
      </w:r>
      <w:r w:rsidRPr="00A115C8">
        <w:rPr>
          <w:rFonts w:ascii="Arial" w:hAnsi="Arial" w:cs="Arial"/>
          <w:b/>
          <w:bCs/>
        </w:rPr>
        <w:t>Direito Civil</w:t>
      </w:r>
      <w:r w:rsidRPr="00A115C8">
        <w:rPr>
          <w:rFonts w:ascii="Arial" w:hAnsi="Arial" w:cs="Arial"/>
          <w:b/>
        </w:rPr>
        <w:t>: Famílias.</w:t>
      </w:r>
      <w:r w:rsidRPr="00A115C8">
        <w:rPr>
          <w:rFonts w:ascii="Arial" w:hAnsi="Arial" w:cs="Arial"/>
        </w:rPr>
        <w:t xml:space="preserve"> 4ª. ed. – São Paulo: Saraiva, 2011, p. 320.  </w:t>
      </w:r>
    </w:p>
  </w:footnote>
  <w:footnote w:id="8">
    <w:p w:rsidR="00E563F1" w:rsidRPr="00A115C8" w:rsidRDefault="00E563F1" w:rsidP="00405CE7">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“A liberdade de estruturação do regime de bens, para os nubentes, é total. (...) Podem fundir tipos, com elementos ou partes de cada um; podem modificar ou repelir normas dispositivas de determinado tipo escolhido, restringindo ou ampliando seus efeitos; podem até criar outro regime não previsto na lei, desde que não constitua expropriação disfarçada de bens por um contra o outro, ou ameaça a crédito de terceiro, ou fraude à lei, ou contrariedade aos bons costumes”. (Ibidem, p. 319).  </w:t>
      </w:r>
    </w:p>
  </w:footnote>
  <w:footnote w:id="9">
    <w:p w:rsidR="00E563F1" w:rsidRPr="00A115C8" w:rsidRDefault="00E563F1" w:rsidP="00163D22">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“O pacto tem um conteúdo eminentemente patrimonial. Recaindo sobre o patrimônio, não apenas deve constar a escolha do regime, como pode também conter outras disposições patrimoniais (...)” (FACHIN, Luiz Edson. </w:t>
      </w:r>
      <w:r w:rsidRPr="00A115C8">
        <w:rPr>
          <w:rFonts w:ascii="Arial" w:hAnsi="Arial" w:cs="Arial"/>
          <w:b/>
        </w:rPr>
        <w:t>Direito de Família: Elementos críticos à luz do Código Civil Brasileiro</w:t>
      </w:r>
      <w:r w:rsidRPr="00A115C8">
        <w:rPr>
          <w:rFonts w:ascii="Arial" w:hAnsi="Arial" w:cs="Arial"/>
        </w:rPr>
        <w:t>. Rio de Janeiro: Renovar, 2003. p. 187).</w:t>
      </w:r>
    </w:p>
  </w:footnote>
  <w:footnote w:id="10">
    <w:p w:rsidR="00E563F1" w:rsidRPr="00A115C8" w:rsidRDefault="00E563F1" w:rsidP="0064480E">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Paulo Lôbo ressalta que, caso o regime seja o da comunhão parcial e o bem seja adquirido antes do registro, mas após a celebração do casamento, entrará na comunhão. (LÔBO, Paulo. </w:t>
      </w:r>
      <w:r w:rsidRPr="00A115C8">
        <w:rPr>
          <w:rFonts w:ascii="Arial" w:hAnsi="Arial" w:cs="Arial"/>
          <w:b/>
          <w:bCs/>
        </w:rPr>
        <w:t>Direito Civil</w:t>
      </w:r>
      <w:r w:rsidRPr="00A115C8">
        <w:rPr>
          <w:rFonts w:ascii="Arial" w:hAnsi="Arial" w:cs="Arial"/>
          <w:b/>
        </w:rPr>
        <w:t>: Famílias.</w:t>
      </w:r>
      <w:r w:rsidRPr="00A115C8">
        <w:rPr>
          <w:rFonts w:ascii="Arial" w:hAnsi="Arial" w:cs="Arial"/>
        </w:rPr>
        <w:t xml:space="preserve"> 4ª. ed. – São Paulo: Saraiva, 2011, p. 321).</w:t>
      </w:r>
    </w:p>
  </w:footnote>
  <w:footnote w:id="11">
    <w:p w:rsidR="00E563F1" w:rsidRPr="00A115C8" w:rsidRDefault="00E563F1" w:rsidP="00B07403">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LAMARTINE, José; MUNIZ, Francisco José Ferreira. </w:t>
      </w:r>
      <w:r w:rsidRPr="00A115C8">
        <w:rPr>
          <w:rFonts w:ascii="Arial" w:hAnsi="Arial" w:cs="Arial"/>
          <w:b/>
        </w:rPr>
        <w:t>Direito de família</w:t>
      </w:r>
      <w:r w:rsidRPr="00A115C8">
        <w:rPr>
          <w:rFonts w:ascii="Arial" w:hAnsi="Arial" w:cs="Arial"/>
        </w:rPr>
        <w:t>. Porto Alegre: Sérgio Antônio Fabris, 1990, p. 340.</w:t>
      </w:r>
    </w:p>
  </w:footnote>
  <w:footnote w:id="12">
    <w:p w:rsidR="00E563F1" w:rsidRPr="00415061" w:rsidRDefault="00E563F1" w:rsidP="004C21CE">
      <w:pPr>
        <w:pStyle w:val="Textodenotaderodap"/>
        <w:jc w:val="both"/>
        <w:rPr>
          <w:rFonts w:ascii="Arial" w:hAnsi="Arial" w:cs="Arial"/>
        </w:rPr>
      </w:pPr>
      <w:r w:rsidRPr="004C21CE">
        <w:rPr>
          <w:rStyle w:val="Refdenotaderodap"/>
          <w:rFonts w:ascii="Arial" w:hAnsi="Arial" w:cs="Arial"/>
        </w:rPr>
        <w:footnoteRef/>
      </w:r>
      <w:r w:rsidRPr="004C21CE">
        <w:rPr>
          <w:rFonts w:ascii="Arial" w:hAnsi="Arial" w:cs="Arial"/>
        </w:rPr>
        <w:t xml:space="preserve"> Na contramão desse entendimento restritivo, </w:t>
      </w:r>
      <w:r>
        <w:rPr>
          <w:rFonts w:ascii="Arial" w:hAnsi="Arial" w:cs="Arial"/>
        </w:rPr>
        <w:t xml:space="preserve">a doutrinadora Ana Carla Harmatiuk Matos, por ocasião do V Congresso do IBDCivil, afirma em sua palestra que </w:t>
      </w:r>
      <w:r w:rsidR="00FC14CF">
        <w:rPr>
          <w:rFonts w:ascii="Arial" w:hAnsi="Arial" w:cs="Arial"/>
        </w:rPr>
        <w:t xml:space="preserve">o pacto antenupcial é um espaço de abertura para importantes escolhas existenciais. </w:t>
      </w:r>
      <w:r w:rsidR="000B3E12">
        <w:rPr>
          <w:rFonts w:ascii="Arial" w:hAnsi="Arial" w:cs="Arial"/>
        </w:rPr>
        <w:t xml:space="preserve">(MATOS, Ana Carla Harmatiuk. </w:t>
      </w:r>
      <w:r w:rsidR="000B3E12">
        <w:rPr>
          <w:rFonts w:ascii="Arial" w:hAnsi="Arial" w:cs="Arial"/>
          <w:b/>
        </w:rPr>
        <w:t xml:space="preserve">São válidas as disposições patrimoniais e existenciais no pacto antenupcial? </w:t>
      </w:r>
      <w:r w:rsidR="000B3E12" w:rsidRPr="0000471A">
        <w:rPr>
          <w:rFonts w:ascii="Arial" w:hAnsi="Arial" w:cs="Arial"/>
        </w:rPr>
        <w:t>Disponível em &lt;</w:t>
      </w:r>
      <w:hyperlink r:id="rId2" w:history="1">
        <w:r w:rsidR="000B3E12" w:rsidRPr="00936987">
          <w:rPr>
            <w:rStyle w:val="Hyperlink"/>
            <w:rFonts w:ascii="Arial" w:hAnsi="Arial" w:cs="Arial"/>
            <w:color w:val="auto"/>
            <w:u w:val="none"/>
          </w:rPr>
          <w:t>https://rbdcivil.ibdcivil.org.br/rbdc/article/view/239/222</w:t>
        </w:r>
      </w:hyperlink>
      <w:r w:rsidR="000B3E12" w:rsidRPr="0000471A">
        <w:rPr>
          <w:rFonts w:ascii="Arial" w:hAnsi="Arial" w:cs="Arial"/>
        </w:rPr>
        <w:t xml:space="preserve">&gt;; Acesso em: </w:t>
      </w:r>
      <w:r w:rsidR="000B3E12">
        <w:rPr>
          <w:rFonts w:ascii="Arial" w:hAnsi="Arial" w:cs="Arial"/>
        </w:rPr>
        <w:t>08 nov.</w:t>
      </w:r>
      <w:r w:rsidR="000B3E12" w:rsidRPr="0000471A">
        <w:rPr>
          <w:rFonts w:ascii="Arial" w:hAnsi="Arial" w:cs="Arial"/>
        </w:rPr>
        <w:t xml:space="preserve"> 2019</w:t>
      </w:r>
      <w:r w:rsidR="000B3E12">
        <w:rPr>
          <w:rFonts w:ascii="Arial" w:hAnsi="Arial" w:cs="Arial"/>
        </w:rPr>
        <w:t>).</w:t>
      </w:r>
    </w:p>
  </w:footnote>
  <w:footnote w:id="13">
    <w:p w:rsidR="00E563F1" w:rsidRPr="00425F0E" w:rsidRDefault="00E563F1" w:rsidP="00184BE0">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A escolha e estruturação do regime de bens não podem ser submetidas a condição, como, por exemplo</w:t>
      </w:r>
      <w:r w:rsidRPr="001278AE">
        <w:rPr>
          <w:rFonts w:ascii="Arial" w:hAnsi="Arial" w:cs="Arial"/>
        </w:rPr>
        <w:t xml:space="preserve">, a superveniência de filhos. (VELOSO, Zeno. </w:t>
      </w:r>
      <w:r w:rsidRPr="001278AE">
        <w:rPr>
          <w:rFonts w:ascii="Arial" w:hAnsi="Arial" w:cs="Arial"/>
          <w:b/>
        </w:rPr>
        <w:t>Regimes matrimoniais de bens</w:t>
      </w:r>
      <w:r w:rsidRPr="001278AE">
        <w:rPr>
          <w:rFonts w:ascii="Arial" w:hAnsi="Arial" w:cs="Arial"/>
        </w:rPr>
        <w:t xml:space="preserve">. In: Direito de Família contemporâneo. Rodrigo da Cunha </w:t>
      </w:r>
      <w:r>
        <w:rPr>
          <w:rFonts w:ascii="Arial" w:hAnsi="Arial" w:cs="Arial"/>
        </w:rPr>
        <w:t xml:space="preserve">Pereira (Org.). Belo Horizonte: Del Rey, 1997, p. </w:t>
      </w:r>
      <w:r w:rsidRPr="00CD639D">
        <w:rPr>
          <w:rFonts w:ascii="Arial" w:hAnsi="Arial" w:cs="Arial"/>
        </w:rPr>
        <w:t>9). No mesmo sentido, aponta Washington de Barros Monteiro: “Em primeiro lugar, fazendo lavrar pacto antenupcial, devem os nubentes ater-se, tão-somente, às relações econômicas, não podendo ser objeto de qualquer estipulação os direitos conjugais, paternos e maternos” (</w:t>
      </w:r>
      <w:r>
        <w:rPr>
          <w:rFonts w:ascii="Arial" w:hAnsi="Arial" w:cs="Arial"/>
        </w:rPr>
        <w:t xml:space="preserve">MONTEIRO, Washington de Barros. </w:t>
      </w:r>
      <w:r w:rsidRPr="00CD639D">
        <w:rPr>
          <w:rFonts w:ascii="Arial" w:hAnsi="Arial" w:cs="Arial"/>
          <w:b/>
        </w:rPr>
        <w:t>Curso de Direito Civil</w:t>
      </w:r>
      <w:r>
        <w:rPr>
          <w:rFonts w:ascii="Arial" w:hAnsi="Arial" w:cs="Arial"/>
        </w:rPr>
        <w:t>. V</w:t>
      </w:r>
      <w:r w:rsidRPr="00CD639D">
        <w:rPr>
          <w:rFonts w:ascii="Arial" w:hAnsi="Arial" w:cs="Arial"/>
        </w:rPr>
        <w:t>ol. II, São Paulo: Saraiva, 2004, p. 193).</w:t>
      </w:r>
      <w:r>
        <w:rPr>
          <w:rFonts w:ascii="Arial" w:hAnsi="Arial" w:cs="Arial"/>
        </w:rPr>
        <w:t xml:space="preserve"> Ainda, ao discorrer sobre a temática, Rolf Madaleno indica a ineficácia de cláusulas ou contratos matrimoniais que renunciem a deveres conjugais, como o de fidelidade, assistência, respeito e mútua consideração.</w:t>
      </w:r>
      <w:r>
        <w:t xml:space="preserve"> </w:t>
      </w:r>
      <w:r w:rsidRPr="0045687C">
        <w:rPr>
          <w:rFonts w:ascii="Arial" w:hAnsi="Arial" w:cs="Arial"/>
        </w:rPr>
        <w:t xml:space="preserve">(MADALENO, Rolf. </w:t>
      </w:r>
      <w:r w:rsidRPr="0045687C">
        <w:rPr>
          <w:rFonts w:ascii="Arial" w:hAnsi="Arial" w:cs="Arial"/>
          <w:b/>
        </w:rPr>
        <w:t xml:space="preserve">O Direito Adquirido e o Regime de </w:t>
      </w:r>
      <w:r w:rsidRPr="00204D51">
        <w:rPr>
          <w:rFonts w:ascii="Arial" w:hAnsi="Arial" w:cs="Arial"/>
          <w:b/>
        </w:rPr>
        <w:t>Bens</w:t>
      </w:r>
      <w:r>
        <w:rPr>
          <w:rFonts w:ascii="Arial" w:hAnsi="Arial" w:cs="Arial"/>
        </w:rPr>
        <w:t>.</w:t>
      </w:r>
      <w:r w:rsidRPr="00204D51">
        <w:rPr>
          <w:rFonts w:ascii="Arial" w:hAnsi="Arial" w:cs="Arial"/>
        </w:rPr>
        <w:t xml:space="preserve"> In Revista Jurídica n. 348, Porto Alegre: Nota Dez, 2006, pp. 30-31</w:t>
      </w:r>
      <w:r w:rsidRPr="0045687C">
        <w:rPr>
          <w:rFonts w:ascii="Arial" w:hAnsi="Arial" w:cs="Arial"/>
        </w:rPr>
        <w:t>).</w:t>
      </w:r>
    </w:p>
  </w:footnote>
  <w:footnote w:id="14">
    <w:p w:rsidR="00E563F1" w:rsidRDefault="00E563F1" w:rsidP="00060FB6">
      <w:pPr>
        <w:autoSpaceDE w:val="0"/>
        <w:autoSpaceDN w:val="0"/>
        <w:adjustRightInd w:val="0"/>
        <w:spacing w:line="240" w:lineRule="auto"/>
        <w:jc w:val="both"/>
      </w:pPr>
      <w:r w:rsidRPr="00ED0FA4">
        <w:rPr>
          <w:rStyle w:val="Refdenotaderodap"/>
          <w:rFonts w:ascii="Arial" w:hAnsi="Arial" w:cs="Arial"/>
          <w:sz w:val="20"/>
          <w:szCs w:val="20"/>
        </w:rPr>
        <w:footnoteRef/>
      </w:r>
      <w:r w:rsidRPr="00ED0FA4">
        <w:rPr>
          <w:rFonts w:ascii="Arial" w:hAnsi="Arial" w:cs="Arial"/>
          <w:sz w:val="20"/>
          <w:szCs w:val="20"/>
        </w:rPr>
        <w:t xml:space="preserve"> TARTUCE, Flávio. </w:t>
      </w:r>
      <w:r w:rsidRPr="00ED0FA4">
        <w:rPr>
          <w:rFonts w:ascii="Arial" w:hAnsi="Arial" w:cs="Arial"/>
          <w:b/>
          <w:sz w:val="20"/>
          <w:szCs w:val="20"/>
        </w:rPr>
        <w:t>Manual de Direito Civil</w:t>
      </w:r>
      <w:r>
        <w:rPr>
          <w:rFonts w:ascii="Arial" w:hAnsi="Arial" w:cs="Arial"/>
          <w:b/>
          <w:sz w:val="20"/>
          <w:szCs w:val="20"/>
        </w:rPr>
        <w:t xml:space="preserve">. </w:t>
      </w:r>
      <w:r w:rsidRPr="00ED0FA4">
        <w:rPr>
          <w:rFonts w:ascii="Arial" w:hAnsi="Arial" w:cs="Arial"/>
          <w:sz w:val="20"/>
          <w:szCs w:val="20"/>
        </w:rPr>
        <w:t>V</w:t>
      </w:r>
      <w:r>
        <w:rPr>
          <w:rFonts w:ascii="Arial" w:hAnsi="Arial" w:cs="Arial"/>
          <w:sz w:val="20"/>
          <w:szCs w:val="20"/>
        </w:rPr>
        <w:t xml:space="preserve">olume único, </w:t>
      </w:r>
      <w:r w:rsidRPr="00ED0FA4">
        <w:rPr>
          <w:rFonts w:ascii="Arial" w:eastAsia="ArialMT" w:hAnsi="Arial" w:cs="Arial"/>
          <w:sz w:val="20"/>
          <w:szCs w:val="20"/>
        </w:rPr>
        <w:t>8ª. ed. rev, atual. e ampl. – Rio de Janeiro: Forense; São Paulo: M</w:t>
      </w:r>
      <w:r>
        <w:rPr>
          <w:rFonts w:ascii="Arial" w:eastAsia="ArialMT" w:hAnsi="Arial" w:cs="Arial"/>
          <w:sz w:val="20"/>
          <w:szCs w:val="20"/>
        </w:rPr>
        <w:t>étodo</w:t>
      </w:r>
      <w:r w:rsidRPr="00ED0FA4">
        <w:rPr>
          <w:rFonts w:ascii="Arial" w:eastAsia="ArialMT" w:hAnsi="Arial" w:cs="Arial"/>
          <w:sz w:val="20"/>
          <w:szCs w:val="20"/>
        </w:rPr>
        <w:t>, 2018.</w:t>
      </w:r>
    </w:p>
  </w:footnote>
  <w:footnote w:id="15">
    <w:p w:rsidR="00E563F1" w:rsidRPr="00971349" w:rsidRDefault="00E563F1" w:rsidP="001A0BA3">
      <w:pPr>
        <w:tabs>
          <w:tab w:val="left" w:pos="1418"/>
          <w:tab w:val="left" w:pos="4830"/>
        </w:tabs>
        <w:spacing w:line="240" w:lineRule="auto"/>
        <w:jc w:val="both"/>
        <w:rPr>
          <w:rFonts w:ascii="Arial" w:hAnsi="Arial" w:cs="Arial"/>
          <w:sz w:val="20"/>
          <w:szCs w:val="20"/>
        </w:rPr>
      </w:pPr>
      <w:r w:rsidRPr="00971349">
        <w:rPr>
          <w:rStyle w:val="Refdenotaderodap"/>
          <w:rFonts w:ascii="Arial" w:hAnsi="Arial" w:cs="Arial"/>
          <w:sz w:val="20"/>
          <w:szCs w:val="20"/>
        </w:rPr>
        <w:footnoteRef/>
      </w:r>
      <w:r w:rsidRPr="00971349">
        <w:rPr>
          <w:rFonts w:ascii="Arial" w:hAnsi="Arial" w:cs="Arial"/>
          <w:sz w:val="20"/>
          <w:szCs w:val="20"/>
        </w:rPr>
        <w:t xml:space="preserve"> </w:t>
      </w:r>
      <w:r>
        <w:rPr>
          <w:rFonts w:ascii="Arial" w:hAnsi="Arial" w:cs="Arial"/>
          <w:sz w:val="20"/>
          <w:szCs w:val="20"/>
        </w:rPr>
        <w:t xml:space="preserve">BRASIL, Lei nº. 3.071/16, </w:t>
      </w:r>
      <w:r w:rsidRPr="004A6552">
        <w:rPr>
          <w:rFonts w:ascii="Arial" w:hAnsi="Arial" w:cs="Arial"/>
          <w:sz w:val="20"/>
          <w:szCs w:val="20"/>
        </w:rPr>
        <w:t>Art. 230: “O regime dos bens entre cônjuges começa a vigorar desde a data do casamento, e é irrevogável”.</w:t>
      </w:r>
    </w:p>
  </w:footnote>
  <w:footnote w:id="16">
    <w:p w:rsidR="00E563F1" w:rsidRPr="006F618B" w:rsidRDefault="00E563F1" w:rsidP="006F618B">
      <w:pPr>
        <w:tabs>
          <w:tab w:val="left" w:pos="1418"/>
          <w:tab w:val="left" w:pos="4830"/>
        </w:tabs>
        <w:spacing w:line="240" w:lineRule="auto"/>
        <w:jc w:val="both"/>
        <w:rPr>
          <w:rFonts w:ascii="Arial" w:hAnsi="Arial" w:cs="Arial"/>
          <w:sz w:val="20"/>
          <w:szCs w:val="20"/>
        </w:rPr>
      </w:pPr>
      <w:r w:rsidRPr="006F618B">
        <w:rPr>
          <w:rStyle w:val="Refdenotaderodap"/>
          <w:rFonts w:ascii="Arial" w:hAnsi="Arial" w:cs="Arial"/>
          <w:sz w:val="20"/>
          <w:szCs w:val="20"/>
        </w:rPr>
        <w:footnoteRef/>
      </w:r>
      <w:r w:rsidRPr="006F618B">
        <w:rPr>
          <w:rFonts w:ascii="Arial" w:hAnsi="Arial" w:cs="Arial"/>
          <w:sz w:val="20"/>
          <w:szCs w:val="20"/>
        </w:rPr>
        <w:t xml:space="preserve"> “Para evitar todos esses temores, seria muito mais adequado que a lei vetasse qualquer alteração do regime de bens que importasse uma restrição ou renúncia de direitos, como a substituição de um regime de comunhão parcial ou universal de bens, para vertê-la em completa e retroativa separação de bens que já eram comuns ao casal (...).” (</w:t>
      </w:r>
      <w:r w:rsidRPr="009A7E00">
        <w:rPr>
          <w:rFonts w:ascii="Arial" w:hAnsi="Arial" w:cs="Arial"/>
          <w:sz w:val="20"/>
          <w:szCs w:val="20"/>
        </w:rPr>
        <w:t>MADALENO</w:t>
      </w:r>
      <w:r>
        <w:rPr>
          <w:rFonts w:ascii="Arial" w:hAnsi="Arial" w:cs="Arial"/>
          <w:sz w:val="20"/>
          <w:szCs w:val="20"/>
        </w:rPr>
        <w:t xml:space="preserve">, Rolf. </w:t>
      </w:r>
      <w:r w:rsidRPr="009A7E00">
        <w:rPr>
          <w:rFonts w:ascii="Arial" w:hAnsi="Arial" w:cs="Arial"/>
          <w:b/>
          <w:sz w:val="20"/>
          <w:szCs w:val="20"/>
        </w:rPr>
        <w:t>O Direito</w:t>
      </w:r>
      <w:r>
        <w:rPr>
          <w:rFonts w:ascii="Arial" w:hAnsi="Arial" w:cs="Arial"/>
          <w:sz w:val="20"/>
          <w:szCs w:val="20"/>
        </w:rPr>
        <w:t xml:space="preserve"> </w:t>
      </w:r>
      <w:r w:rsidRPr="009A7E00">
        <w:rPr>
          <w:rFonts w:ascii="Arial" w:hAnsi="Arial" w:cs="Arial"/>
          <w:b/>
          <w:sz w:val="20"/>
          <w:szCs w:val="20"/>
        </w:rPr>
        <w:t>Adquirido e o Regime de Bens.</w:t>
      </w:r>
      <w:r>
        <w:rPr>
          <w:rFonts w:ascii="Arial" w:hAnsi="Arial" w:cs="Arial"/>
          <w:sz w:val="20"/>
          <w:szCs w:val="20"/>
        </w:rPr>
        <w:t xml:space="preserve"> </w:t>
      </w:r>
      <w:r w:rsidRPr="006F618B">
        <w:rPr>
          <w:rFonts w:ascii="Arial" w:hAnsi="Arial" w:cs="Arial"/>
          <w:sz w:val="20"/>
          <w:szCs w:val="20"/>
        </w:rPr>
        <w:t>In Revista Jurídica n. 348, Porto Alegre: Nota Dez, 2006, p. 38).</w:t>
      </w:r>
    </w:p>
  </w:footnote>
  <w:footnote w:id="17">
    <w:p w:rsidR="00E563F1" w:rsidRPr="00AB618B" w:rsidRDefault="00E563F1" w:rsidP="001A0BA3">
      <w:pPr>
        <w:spacing w:line="240" w:lineRule="auto"/>
        <w:jc w:val="both"/>
        <w:rPr>
          <w:rFonts w:ascii="Arial" w:hAnsi="Arial" w:cs="Arial"/>
          <w:sz w:val="20"/>
          <w:szCs w:val="20"/>
        </w:rPr>
      </w:pPr>
      <w:r w:rsidRPr="001C45A5">
        <w:rPr>
          <w:rStyle w:val="Refdenotaderodap"/>
          <w:rFonts w:ascii="Arial" w:hAnsi="Arial" w:cs="Arial"/>
          <w:sz w:val="20"/>
          <w:szCs w:val="20"/>
        </w:rPr>
        <w:footnoteRef/>
      </w:r>
      <w:r>
        <w:rPr>
          <w:rFonts w:ascii="Arial" w:hAnsi="Arial" w:cs="Arial"/>
          <w:sz w:val="20"/>
          <w:szCs w:val="20"/>
        </w:rPr>
        <w:t xml:space="preserve"> BRASIL, Lei nº. 10.406/02,</w:t>
      </w:r>
      <w:r w:rsidRPr="001C45A5">
        <w:rPr>
          <w:rFonts w:ascii="Arial" w:hAnsi="Arial" w:cs="Arial"/>
          <w:sz w:val="20"/>
          <w:szCs w:val="20"/>
        </w:rPr>
        <w:t xml:space="preserve"> Art. 1.641</w:t>
      </w:r>
      <w:r w:rsidRPr="00AB618B">
        <w:rPr>
          <w:rFonts w:ascii="Arial" w:hAnsi="Arial" w:cs="Arial"/>
          <w:sz w:val="20"/>
          <w:szCs w:val="20"/>
        </w:rPr>
        <w:t>: É obrigatório o regime de separação de bens no casamento:</w:t>
      </w:r>
    </w:p>
    <w:p w:rsidR="00E563F1" w:rsidRPr="00AB618B" w:rsidRDefault="00E563F1" w:rsidP="00A33BD0">
      <w:pPr>
        <w:spacing w:line="240" w:lineRule="auto"/>
        <w:jc w:val="both"/>
        <w:rPr>
          <w:rFonts w:ascii="Arial" w:hAnsi="Arial" w:cs="Arial"/>
          <w:sz w:val="20"/>
          <w:szCs w:val="20"/>
        </w:rPr>
      </w:pPr>
      <w:r w:rsidRPr="00AB618B">
        <w:rPr>
          <w:rFonts w:ascii="Arial" w:hAnsi="Arial" w:cs="Arial"/>
          <w:sz w:val="20"/>
          <w:szCs w:val="20"/>
        </w:rPr>
        <w:t>I – das pessoas que o contraírem com inobservância das causas suspensivas da celebração do casamento;</w:t>
      </w:r>
    </w:p>
    <w:p w:rsidR="00E563F1" w:rsidRPr="00AB618B" w:rsidRDefault="00E563F1" w:rsidP="00A33BD0">
      <w:pPr>
        <w:spacing w:line="240" w:lineRule="auto"/>
        <w:jc w:val="both"/>
        <w:rPr>
          <w:rFonts w:ascii="Arial" w:hAnsi="Arial" w:cs="Arial"/>
          <w:sz w:val="20"/>
          <w:szCs w:val="20"/>
        </w:rPr>
      </w:pPr>
      <w:r w:rsidRPr="00AB618B">
        <w:rPr>
          <w:rFonts w:ascii="Arial" w:hAnsi="Arial" w:cs="Arial"/>
          <w:sz w:val="20"/>
          <w:szCs w:val="20"/>
        </w:rPr>
        <w:t>II – da pessoa maior de 70 (setenta) anos;</w:t>
      </w:r>
    </w:p>
    <w:p w:rsidR="00E563F1" w:rsidRPr="007C3AEF" w:rsidRDefault="00E563F1" w:rsidP="00A33BD0">
      <w:pPr>
        <w:spacing w:line="240" w:lineRule="auto"/>
        <w:jc w:val="both"/>
        <w:rPr>
          <w:rFonts w:ascii="Arial" w:hAnsi="Arial" w:cs="Arial"/>
          <w:sz w:val="16"/>
          <w:szCs w:val="16"/>
        </w:rPr>
      </w:pPr>
      <w:r w:rsidRPr="00AB618B">
        <w:rPr>
          <w:rFonts w:ascii="Arial" w:hAnsi="Arial" w:cs="Arial"/>
          <w:sz w:val="20"/>
          <w:szCs w:val="20"/>
        </w:rPr>
        <w:t>III – de todos os que dependerem, para casar, de suprimento judicial</w:t>
      </w:r>
      <w:r>
        <w:rPr>
          <w:rFonts w:ascii="Arial" w:hAnsi="Arial" w:cs="Arial"/>
          <w:sz w:val="16"/>
          <w:szCs w:val="16"/>
        </w:rPr>
        <w:t xml:space="preserve">. </w:t>
      </w:r>
    </w:p>
  </w:footnote>
  <w:footnote w:id="18">
    <w:p w:rsidR="00E563F1" w:rsidRPr="00A12378" w:rsidRDefault="00E563F1" w:rsidP="00A12378">
      <w:pPr>
        <w:pStyle w:val="Textodenotaderodap"/>
        <w:jc w:val="both"/>
        <w:rPr>
          <w:rFonts w:ascii="Arial" w:hAnsi="Arial" w:cs="Arial"/>
        </w:rPr>
      </w:pPr>
      <w:r w:rsidRPr="00A12378">
        <w:rPr>
          <w:rStyle w:val="Refdenotaderodap"/>
          <w:rFonts w:ascii="Arial" w:hAnsi="Arial" w:cs="Arial"/>
        </w:rPr>
        <w:footnoteRef/>
      </w:r>
      <w:r w:rsidRPr="00A12378">
        <w:rPr>
          <w:rFonts w:ascii="Arial" w:hAnsi="Arial" w:cs="Arial"/>
        </w:rPr>
        <w:t xml:space="preserve"> Tal instituto será explicado adiante.</w:t>
      </w:r>
    </w:p>
  </w:footnote>
  <w:footnote w:id="19">
    <w:p w:rsidR="00E563F1" w:rsidRPr="001C45A5" w:rsidRDefault="00E563F1" w:rsidP="005D08E5">
      <w:pPr>
        <w:pStyle w:val="Textodenotaderodap"/>
        <w:jc w:val="both"/>
        <w:rPr>
          <w:rFonts w:ascii="Arial" w:hAnsi="Arial" w:cs="Arial"/>
        </w:rPr>
      </w:pPr>
      <w:r w:rsidRPr="00BD46B9">
        <w:rPr>
          <w:rStyle w:val="Refdenotaderodap"/>
          <w:rFonts w:ascii="Arial" w:hAnsi="Arial" w:cs="Arial"/>
        </w:rPr>
        <w:footnoteRef/>
      </w:r>
      <w:r w:rsidRPr="00BD46B9">
        <w:rPr>
          <w:rFonts w:ascii="Arial" w:hAnsi="Arial" w:cs="Arial"/>
        </w:rPr>
        <w:t xml:space="preserve"> Assinala Pontes de Miranda que existem dois tipos de regime legal de bens: um dispositivo, mediante convenção tácita, estabelecido pela lei no caso de silêncio dos nubentes, e outro obrigatório, em que a lei impõe um regime</w:t>
      </w:r>
      <w:r>
        <w:rPr>
          <w:rFonts w:ascii="Arial" w:hAnsi="Arial" w:cs="Arial"/>
        </w:rPr>
        <w:t xml:space="preserve"> de bens</w:t>
      </w:r>
      <w:r w:rsidRPr="00BD46B9">
        <w:rPr>
          <w:rFonts w:ascii="Arial" w:hAnsi="Arial" w:cs="Arial"/>
        </w:rPr>
        <w:t xml:space="preserve">, ainda que os nubentes </w:t>
      </w:r>
      <w:r>
        <w:rPr>
          <w:rFonts w:ascii="Arial" w:hAnsi="Arial" w:cs="Arial"/>
        </w:rPr>
        <w:t>queiram optar</w:t>
      </w:r>
      <w:r w:rsidRPr="00BD46B9">
        <w:rPr>
          <w:rFonts w:ascii="Arial" w:hAnsi="Arial" w:cs="Arial"/>
        </w:rPr>
        <w:t xml:space="preserve"> por outro modelo. (PONTES</w:t>
      </w:r>
      <w:r w:rsidRPr="001C45A5">
        <w:rPr>
          <w:rFonts w:ascii="Arial" w:hAnsi="Arial" w:cs="Arial"/>
        </w:rPr>
        <w:t xml:space="preserve"> DE MIRANDA, F. C. </w:t>
      </w:r>
      <w:r w:rsidRPr="001C45A5">
        <w:rPr>
          <w:rFonts w:ascii="Arial" w:hAnsi="Arial" w:cs="Arial"/>
          <w:b/>
          <w:bCs/>
        </w:rPr>
        <w:t>Tratado de Direito Privado</w:t>
      </w:r>
      <w:r w:rsidRPr="001C45A5">
        <w:rPr>
          <w:rFonts w:ascii="Arial" w:hAnsi="Arial" w:cs="Arial"/>
        </w:rPr>
        <w:t xml:space="preserve">: parte geral. Vol. 8 – Rio de Janeiro: Borsoi, 1971, p. 234).   </w:t>
      </w:r>
    </w:p>
  </w:footnote>
  <w:footnote w:id="20">
    <w:p w:rsidR="00E563F1" w:rsidRDefault="00E563F1" w:rsidP="00D53FCE">
      <w:pPr>
        <w:pStyle w:val="Textodenotaderodap"/>
        <w:jc w:val="both"/>
      </w:pPr>
      <w:r>
        <w:rPr>
          <w:rStyle w:val="Refdenotaderodap"/>
        </w:rPr>
        <w:footnoteRef/>
      </w:r>
      <w:r>
        <w:t xml:space="preserve"> </w:t>
      </w:r>
      <w:r>
        <w:rPr>
          <w:rFonts w:ascii="Arial" w:hAnsi="Arial" w:cs="Arial"/>
        </w:rPr>
        <w:t>LÔ</w:t>
      </w:r>
      <w:r w:rsidRPr="00C600E3">
        <w:rPr>
          <w:rFonts w:ascii="Arial" w:hAnsi="Arial" w:cs="Arial"/>
        </w:rPr>
        <w:t xml:space="preserve">BO, Paulo. </w:t>
      </w:r>
      <w:r w:rsidRPr="00C600E3">
        <w:rPr>
          <w:rFonts w:ascii="Arial" w:hAnsi="Arial" w:cs="Arial"/>
          <w:b/>
          <w:bCs/>
        </w:rPr>
        <w:t>Direito Civil</w:t>
      </w:r>
      <w:r w:rsidRPr="00C600E3">
        <w:rPr>
          <w:rFonts w:ascii="Arial" w:hAnsi="Arial" w:cs="Arial"/>
          <w:b/>
        </w:rPr>
        <w:t>: Famílias.</w:t>
      </w:r>
      <w:r w:rsidRPr="00C600E3">
        <w:rPr>
          <w:rFonts w:ascii="Arial" w:hAnsi="Arial" w:cs="Arial"/>
        </w:rPr>
        <w:t xml:space="preserve"> 4ª. ed. – </w:t>
      </w:r>
      <w:r>
        <w:rPr>
          <w:rFonts w:ascii="Arial" w:hAnsi="Arial" w:cs="Arial"/>
        </w:rPr>
        <w:t>São Paulo: Saraiva, 2011, p. 351.</w:t>
      </w:r>
    </w:p>
  </w:footnote>
  <w:footnote w:id="21">
    <w:p w:rsidR="00E563F1" w:rsidRPr="006C2B5E" w:rsidRDefault="00E563F1" w:rsidP="009A3B10">
      <w:pPr>
        <w:pStyle w:val="Textodenotaderodap"/>
        <w:jc w:val="both"/>
        <w:rPr>
          <w:rFonts w:ascii="Arial" w:hAnsi="Arial" w:cs="Arial"/>
        </w:rPr>
      </w:pPr>
      <w:r>
        <w:rPr>
          <w:rStyle w:val="Refdenotaderodap"/>
        </w:rPr>
        <w:footnoteRef/>
      </w:r>
      <w:r>
        <w:t xml:space="preserve"> </w:t>
      </w:r>
      <w:r>
        <w:rPr>
          <w:rFonts w:ascii="Arial" w:hAnsi="Arial" w:cs="Arial"/>
        </w:rPr>
        <w:t>Ibidem, p. 353</w:t>
      </w:r>
      <w:r w:rsidRPr="00C600E3">
        <w:rPr>
          <w:rFonts w:ascii="Arial" w:hAnsi="Arial" w:cs="Arial"/>
        </w:rPr>
        <w:t>.</w:t>
      </w:r>
      <w:r>
        <w:t xml:space="preserve">  </w:t>
      </w:r>
    </w:p>
  </w:footnote>
  <w:footnote w:id="22">
    <w:p w:rsidR="00E563F1" w:rsidRDefault="00E563F1" w:rsidP="00953D1E">
      <w:pPr>
        <w:pStyle w:val="Textodenotaderodap"/>
        <w:jc w:val="both"/>
      </w:pPr>
      <w:r>
        <w:rPr>
          <w:rStyle w:val="Refdenotaderodap"/>
        </w:rPr>
        <w:footnoteRef/>
      </w:r>
      <w:r>
        <w:t xml:space="preserve"> </w:t>
      </w:r>
      <w:r w:rsidRPr="00ED0FA4">
        <w:rPr>
          <w:rFonts w:ascii="Arial" w:hAnsi="Arial" w:cs="Arial"/>
        </w:rPr>
        <w:t xml:space="preserve">TARTUCE, Flávio. </w:t>
      </w:r>
      <w:r w:rsidRPr="00ED0FA4">
        <w:rPr>
          <w:rFonts w:ascii="Arial" w:hAnsi="Arial" w:cs="Arial"/>
          <w:b/>
        </w:rPr>
        <w:t>Manual de Direito Civil</w:t>
      </w:r>
      <w:r>
        <w:rPr>
          <w:rFonts w:ascii="Arial" w:hAnsi="Arial" w:cs="Arial"/>
          <w:b/>
        </w:rPr>
        <w:t xml:space="preserve">. </w:t>
      </w:r>
      <w:r w:rsidRPr="00ED0FA4">
        <w:rPr>
          <w:rFonts w:ascii="Arial" w:hAnsi="Arial" w:cs="Arial"/>
        </w:rPr>
        <w:t>V</w:t>
      </w:r>
      <w:r>
        <w:rPr>
          <w:rFonts w:ascii="Arial" w:hAnsi="Arial" w:cs="Arial"/>
        </w:rPr>
        <w:t xml:space="preserve">olume único, </w:t>
      </w:r>
      <w:r w:rsidRPr="00ED0FA4">
        <w:rPr>
          <w:rFonts w:ascii="Arial" w:eastAsia="ArialMT" w:hAnsi="Arial" w:cs="Arial"/>
        </w:rPr>
        <w:t xml:space="preserve">8ª. ed. rev, atual. e ampl. – Rio de Janeiro: Forense; São Paulo: </w:t>
      </w:r>
      <w:r>
        <w:rPr>
          <w:rFonts w:ascii="Arial" w:eastAsia="ArialMT" w:hAnsi="Arial" w:cs="Arial"/>
        </w:rPr>
        <w:t>Método, 2018, p. 1235.</w:t>
      </w:r>
    </w:p>
  </w:footnote>
  <w:footnote w:id="23">
    <w:p w:rsidR="00E563F1" w:rsidRPr="00C77C56" w:rsidRDefault="00E563F1" w:rsidP="00C77C56">
      <w:pPr>
        <w:pStyle w:val="Textodenotaderodap"/>
        <w:jc w:val="both"/>
        <w:rPr>
          <w:rFonts w:ascii="Arial" w:hAnsi="Arial" w:cs="Arial"/>
        </w:rPr>
      </w:pPr>
      <w:r w:rsidRPr="00C77C56">
        <w:rPr>
          <w:rStyle w:val="Refdenotaderodap"/>
          <w:rFonts w:ascii="Arial" w:hAnsi="Arial" w:cs="Arial"/>
        </w:rPr>
        <w:footnoteRef/>
      </w:r>
      <w:r w:rsidRPr="00C77C56">
        <w:rPr>
          <w:rFonts w:ascii="Arial" w:hAnsi="Arial" w:cs="Arial"/>
        </w:rPr>
        <w:t xml:space="preserve"> DINIZ, Maria Helena. </w:t>
      </w:r>
      <w:r w:rsidRPr="009D7177">
        <w:rPr>
          <w:rFonts w:ascii="Arial" w:hAnsi="Arial" w:cs="Arial"/>
          <w:b/>
        </w:rPr>
        <w:t>Curso de Direito Civil Brasileiro, 5º vol: Direito de Família</w:t>
      </w:r>
      <w:r w:rsidRPr="00C77C56">
        <w:rPr>
          <w:rFonts w:ascii="Arial" w:hAnsi="Arial" w:cs="Arial"/>
        </w:rPr>
        <w:t xml:space="preserve">. 22 ed. rev. e atual. – São </w:t>
      </w:r>
      <w:r>
        <w:rPr>
          <w:rFonts w:ascii="Arial" w:hAnsi="Arial" w:cs="Arial"/>
        </w:rPr>
        <w:t>Paulo: Saraiva, 2007, p. 172.</w:t>
      </w:r>
    </w:p>
  </w:footnote>
  <w:footnote w:id="24">
    <w:p w:rsidR="00E563F1" w:rsidRPr="00A115C8" w:rsidRDefault="00E563F1" w:rsidP="004F34CD">
      <w:pPr>
        <w:pStyle w:val="Textodenotaderodap"/>
        <w:jc w:val="both"/>
        <w:rPr>
          <w:rFonts w:ascii="Arial" w:hAnsi="Arial" w:cs="Arial"/>
        </w:rPr>
      </w:pPr>
      <w:r w:rsidRPr="00A115C8">
        <w:rPr>
          <w:rStyle w:val="Refdenotaderodap"/>
          <w:rFonts w:ascii="Arial" w:hAnsi="Arial" w:cs="Arial"/>
        </w:rPr>
        <w:footnoteRef/>
      </w:r>
      <w:r w:rsidRPr="00A115C8">
        <w:rPr>
          <w:rFonts w:ascii="Arial" w:hAnsi="Arial" w:cs="Arial"/>
        </w:rPr>
        <w:t xml:space="preserve"> TARTUCE, Flávio. </w:t>
      </w:r>
      <w:r w:rsidRPr="00A115C8">
        <w:rPr>
          <w:rFonts w:ascii="Arial" w:hAnsi="Arial" w:cs="Arial"/>
          <w:b/>
        </w:rPr>
        <w:t xml:space="preserve">Manual de Direito Civil. </w:t>
      </w:r>
      <w:r w:rsidRPr="00A115C8">
        <w:rPr>
          <w:rFonts w:ascii="Arial" w:hAnsi="Arial" w:cs="Arial"/>
        </w:rPr>
        <w:t xml:space="preserve">Volume único, </w:t>
      </w:r>
      <w:r w:rsidRPr="00A115C8">
        <w:rPr>
          <w:rFonts w:ascii="Arial" w:eastAsia="ArialMT" w:hAnsi="Arial" w:cs="Arial"/>
        </w:rPr>
        <w:t>8ª. ed. rev, atual. e ampl. – Rio de Janeiro: Forense; São Paulo: Método, 2018, p. 1230.</w:t>
      </w:r>
    </w:p>
  </w:footnote>
  <w:footnote w:id="25">
    <w:p w:rsidR="00E563F1" w:rsidRDefault="00E563F1" w:rsidP="002F3AB1">
      <w:pPr>
        <w:pStyle w:val="Textodenotaderodap"/>
        <w:jc w:val="both"/>
      </w:pPr>
      <w:r w:rsidRPr="00A115C8">
        <w:rPr>
          <w:rStyle w:val="Refdenotaderodap"/>
          <w:rFonts w:ascii="Arial" w:hAnsi="Arial" w:cs="Arial"/>
        </w:rPr>
        <w:footnoteRef/>
      </w:r>
      <w:r w:rsidRPr="00A115C8">
        <w:rPr>
          <w:rFonts w:ascii="Arial" w:hAnsi="Arial" w:cs="Arial"/>
          <w:color w:val="FF0000"/>
        </w:rPr>
        <w:t xml:space="preserve"> </w:t>
      </w:r>
      <w:r w:rsidRPr="00A115C8">
        <w:rPr>
          <w:rFonts w:ascii="Arial" w:hAnsi="Arial" w:cs="Arial"/>
        </w:rPr>
        <w:t>Ibidem</w:t>
      </w:r>
      <w:r w:rsidRPr="00526011">
        <w:rPr>
          <w:rFonts w:ascii="Arial" w:hAnsi="Arial" w:cs="Arial"/>
        </w:rPr>
        <w:t>, p. 123</w:t>
      </w:r>
      <w:r>
        <w:rPr>
          <w:rFonts w:ascii="Arial" w:hAnsi="Arial" w:cs="Arial"/>
        </w:rPr>
        <w:t>2</w:t>
      </w:r>
      <w:r w:rsidRPr="00526011">
        <w:rPr>
          <w:rFonts w:ascii="Arial" w:hAnsi="Arial" w:cs="Arial"/>
        </w:rPr>
        <w:t>.</w:t>
      </w:r>
    </w:p>
  </w:footnote>
  <w:footnote w:id="26">
    <w:p w:rsidR="00E563F1" w:rsidRPr="00270AA8" w:rsidRDefault="00E563F1" w:rsidP="0094245D">
      <w:pPr>
        <w:pStyle w:val="Textodenotaderodap"/>
        <w:jc w:val="both"/>
      </w:pPr>
      <w:r w:rsidRPr="00257AE4">
        <w:rPr>
          <w:rStyle w:val="Refdenotaderodap"/>
          <w:rFonts w:ascii="Arial" w:hAnsi="Arial" w:cs="Arial"/>
        </w:rPr>
        <w:footnoteRef/>
      </w:r>
      <w:r w:rsidRPr="00257AE4">
        <w:rPr>
          <w:rFonts w:ascii="Arial" w:hAnsi="Arial" w:cs="Arial"/>
        </w:rPr>
        <w:t xml:space="preserve"> </w:t>
      </w:r>
      <w:r>
        <w:rPr>
          <w:rFonts w:ascii="Arial" w:hAnsi="Arial" w:cs="Arial"/>
        </w:rPr>
        <w:t>Ibidem,</w:t>
      </w:r>
      <w:r>
        <w:rPr>
          <w:rFonts w:ascii="Arial" w:eastAsia="ArialMT" w:hAnsi="Arial" w:cs="Arial"/>
        </w:rPr>
        <w:t xml:space="preserve"> p.</w:t>
      </w:r>
      <w:r w:rsidRPr="00257AE4">
        <w:rPr>
          <w:rFonts w:ascii="Arial" w:hAnsi="Arial" w:cs="Arial"/>
        </w:rPr>
        <w:t>1233</w:t>
      </w:r>
      <w:r w:rsidRPr="0094245D">
        <w:rPr>
          <w:rFonts w:ascii="Arial" w:hAnsi="Arial" w:cs="Arial"/>
        </w:rPr>
        <w:t xml:space="preserve">. </w:t>
      </w:r>
    </w:p>
  </w:footnote>
  <w:footnote w:id="27">
    <w:p w:rsidR="00E563F1" w:rsidRDefault="00E563F1" w:rsidP="0094245D">
      <w:pPr>
        <w:pStyle w:val="Textodenotaderodap"/>
        <w:jc w:val="both"/>
      </w:pPr>
      <w:r w:rsidRPr="0094245D">
        <w:rPr>
          <w:rStyle w:val="Refdenotaderodap"/>
          <w:rFonts w:ascii="Arial" w:hAnsi="Arial" w:cs="Arial"/>
        </w:rPr>
        <w:footnoteRef/>
      </w:r>
      <w:r w:rsidRPr="0094245D">
        <w:rPr>
          <w:rFonts w:ascii="Arial" w:hAnsi="Arial" w:cs="Arial"/>
        </w:rPr>
        <w:t xml:space="preserve"> </w:t>
      </w:r>
      <w:r w:rsidRPr="0094245D">
        <w:rPr>
          <w:rFonts w:ascii="Arial" w:eastAsia="ArialMT" w:hAnsi="Arial" w:cs="Arial"/>
        </w:rPr>
        <w:t xml:space="preserve">DINIZ, Maria Helena. </w:t>
      </w:r>
      <w:r w:rsidRPr="0094245D">
        <w:rPr>
          <w:rFonts w:ascii="Arial" w:eastAsia="ArialMT" w:hAnsi="Arial" w:cs="Arial"/>
          <w:b/>
          <w:iCs/>
        </w:rPr>
        <w:t>Código Civil anotado</w:t>
      </w:r>
      <w:r w:rsidRPr="0094245D">
        <w:rPr>
          <w:rFonts w:ascii="Arial" w:eastAsia="ArialMT" w:hAnsi="Arial" w:cs="Arial"/>
        </w:rPr>
        <w:t>. 15. ed. São Paulo: Saraiva, 2010. p. 1.183.</w:t>
      </w:r>
    </w:p>
  </w:footnote>
  <w:footnote w:id="28">
    <w:p w:rsidR="00E563F1" w:rsidRPr="00C50118" w:rsidRDefault="00E563F1" w:rsidP="00620035">
      <w:pPr>
        <w:pStyle w:val="Textodenotaderodap"/>
        <w:jc w:val="both"/>
        <w:rPr>
          <w:rFonts w:ascii="Arial" w:hAnsi="Arial" w:cs="Arial"/>
        </w:rPr>
      </w:pPr>
      <w:r w:rsidRPr="00C50118">
        <w:rPr>
          <w:rStyle w:val="Refdenotaderodap"/>
          <w:rFonts w:ascii="Arial" w:hAnsi="Arial" w:cs="Arial"/>
        </w:rPr>
        <w:footnoteRef/>
      </w:r>
      <w:r w:rsidRPr="00C50118">
        <w:rPr>
          <w:rFonts w:ascii="Arial" w:hAnsi="Arial" w:cs="Arial"/>
        </w:rPr>
        <w:t xml:space="preserve"> </w:t>
      </w:r>
      <w:r w:rsidRPr="00620035">
        <w:rPr>
          <w:rFonts w:ascii="Arial" w:hAnsi="Arial" w:cs="Arial"/>
        </w:rPr>
        <w:t>BRASIL, Lei nº. 10.406/02.</w:t>
      </w:r>
      <w:r>
        <w:rPr>
          <w:rFonts w:ascii="Arial" w:hAnsi="Arial" w:cs="Arial"/>
        </w:rPr>
        <w:t xml:space="preserve"> </w:t>
      </w:r>
      <w:r w:rsidRPr="00C50118">
        <w:rPr>
          <w:rFonts w:ascii="Arial" w:hAnsi="Arial" w:cs="Arial"/>
        </w:rPr>
        <w:t xml:space="preserve">Art. 1.687. Estipulada a separação de bens, estes permanecerão sob a administração exclusiva de cada um dos cônjuges, que os poderá livremente alienar ou gravar ônus real. </w:t>
      </w:r>
    </w:p>
    <w:p w:rsidR="00E563F1" w:rsidRPr="004843F0" w:rsidRDefault="00E563F1" w:rsidP="00620035">
      <w:pPr>
        <w:pStyle w:val="Textodenotaderodap"/>
        <w:jc w:val="both"/>
        <w:rPr>
          <w:rFonts w:ascii="Arial" w:hAnsi="Arial" w:cs="Arial"/>
        </w:rPr>
      </w:pPr>
      <w:r w:rsidRPr="00C50118">
        <w:rPr>
          <w:rFonts w:ascii="Arial" w:hAnsi="Arial" w:cs="Arial"/>
        </w:rPr>
        <w:t>Art.</w:t>
      </w:r>
      <w:r w:rsidRPr="004843F0">
        <w:rPr>
          <w:rFonts w:ascii="Arial" w:hAnsi="Arial" w:cs="Arial"/>
        </w:rPr>
        <w:t xml:space="preserve"> 1.688. Ambos os cônjuges são obrigados a contribuir para as despesas do casal na proporção dos rendimentos de seu trabalho e de seus bens, salvo estipulação em con</w:t>
      </w:r>
      <w:r>
        <w:rPr>
          <w:rFonts w:ascii="Arial" w:hAnsi="Arial" w:cs="Arial"/>
        </w:rPr>
        <w:t xml:space="preserve">trário no pacto antenupcial. </w:t>
      </w:r>
    </w:p>
  </w:footnote>
  <w:footnote w:id="29">
    <w:p w:rsidR="00E563F1" w:rsidRPr="00841A96" w:rsidRDefault="00E563F1" w:rsidP="00067467">
      <w:pPr>
        <w:pStyle w:val="Textodenotaderodap"/>
        <w:jc w:val="both"/>
        <w:rPr>
          <w:rFonts w:ascii="Arial" w:hAnsi="Arial" w:cs="Arial"/>
        </w:rPr>
      </w:pPr>
      <w:r w:rsidRPr="00075CAD">
        <w:rPr>
          <w:rStyle w:val="Refdenotaderodap"/>
          <w:rFonts w:ascii="Arial" w:hAnsi="Arial" w:cs="Arial"/>
        </w:rPr>
        <w:footnoteRef/>
      </w:r>
      <w:r w:rsidRPr="00075CAD">
        <w:rPr>
          <w:rFonts w:ascii="Arial" w:hAnsi="Arial" w:cs="Arial"/>
        </w:rPr>
        <w:t xml:space="preserve"> </w:t>
      </w:r>
      <w:r w:rsidRPr="00841A96">
        <w:rPr>
          <w:rFonts w:ascii="Arial" w:hAnsi="Arial" w:cs="Arial"/>
        </w:rPr>
        <w:t>Ibidem, p. 356.</w:t>
      </w:r>
    </w:p>
  </w:footnote>
  <w:footnote w:id="30">
    <w:p w:rsidR="00E563F1" w:rsidRPr="00443585" w:rsidRDefault="00E563F1" w:rsidP="00443585">
      <w:pPr>
        <w:pStyle w:val="Textodenotaderodap"/>
        <w:jc w:val="both"/>
        <w:rPr>
          <w:rFonts w:ascii="Arial" w:hAnsi="Arial" w:cs="Arial"/>
        </w:rPr>
      </w:pPr>
      <w:r w:rsidRPr="00443585">
        <w:rPr>
          <w:rStyle w:val="Refdenotaderodap"/>
          <w:rFonts w:ascii="Arial" w:hAnsi="Arial" w:cs="Arial"/>
        </w:rPr>
        <w:footnoteRef/>
      </w:r>
      <w:r w:rsidRPr="00443585">
        <w:rPr>
          <w:rFonts w:ascii="Arial" w:hAnsi="Arial" w:cs="Arial"/>
        </w:rPr>
        <w:t xml:space="preserve"> </w:t>
      </w:r>
      <w:r w:rsidRPr="00DC14EB">
        <w:rPr>
          <w:rFonts w:ascii="Arial" w:hAnsi="Arial" w:cs="Arial"/>
        </w:rPr>
        <w:t>BRASIL, Lei nº. 10.406/02.</w:t>
      </w:r>
      <w:r>
        <w:rPr>
          <w:rFonts w:ascii="Arial" w:hAnsi="Arial" w:cs="Arial"/>
        </w:rPr>
        <w:t xml:space="preserve"> Art. 1.688. </w:t>
      </w:r>
    </w:p>
  </w:footnote>
  <w:footnote w:id="31">
    <w:p w:rsidR="00E563F1" w:rsidRPr="001B29B9" w:rsidRDefault="00E563F1" w:rsidP="001B29B9">
      <w:pPr>
        <w:tabs>
          <w:tab w:val="left" w:pos="4830"/>
        </w:tabs>
        <w:spacing w:line="240" w:lineRule="auto"/>
        <w:jc w:val="both"/>
        <w:rPr>
          <w:rFonts w:ascii="Arial" w:hAnsi="Arial" w:cs="Arial"/>
          <w:sz w:val="20"/>
          <w:szCs w:val="20"/>
        </w:rPr>
      </w:pPr>
      <w:r w:rsidRPr="001B29B9">
        <w:rPr>
          <w:rStyle w:val="Refdenotaderodap"/>
          <w:rFonts w:ascii="Arial" w:hAnsi="Arial" w:cs="Arial"/>
          <w:sz w:val="20"/>
          <w:szCs w:val="20"/>
        </w:rPr>
        <w:footnoteRef/>
      </w:r>
      <w:r w:rsidRPr="001B29B9">
        <w:rPr>
          <w:rFonts w:ascii="Arial" w:hAnsi="Arial" w:cs="Arial"/>
          <w:sz w:val="20"/>
          <w:szCs w:val="20"/>
        </w:rPr>
        <w:t xml:space="preserve"> Nessa espécie de regime, incide a Súmula 377, do STJ, a qual prevê que “no regime de separação legal de bens comunicam-se os adquiridos na constância do casamento”. Assim, contraditoriamente, o enunciado sumular acaba por converter o regime da separação legal de bens em um regime de comunhão parcial.</w:t>
      </w:r>
      <w:r>
        <w:rPr>
          <w:rFonts w:ascii="Arial" w:hAnsi="Arial" w:cs="Arial"/>
          <w:sz w:val="20"/>
          <w:szCs w:val="20"/>
        </w:rPr>
        <w:t xml:space="preserve"> (</w:t>
      </w:r>
      <w:r w:rsidRPr="00ED0FA4">
        <w:rPr>
          <w:rFonts w:ascii="Arial" w:hAnsi="Arial" w:cs="Arial"/>
          <w:sz w:val="20"/>
          <w:szCs w:val="20"/>
        </w:rPr>
        <w:t xml:space="preserve">TARTUCE, Flávio. </w:t>
      </w:r>
      <w:r w:rsidRPr="00ED0FA4">
        <w:rPr>
          <w:rFonts w:ascii="Arial" w:hAnsi="Arial" w:cs="Arial"/>
          <w:b/>
          <w:sz w:val="20"/>
          <w:szCs w:val="20"/>
        </w:rPr>
        <w:t>Manual de Direito Civil</w:t>
      </w:r>
      <w:r>
        <w:rPr>
          <w:rFonts w:ascii="Arial" w:hAnsi="Arial" w:cs="Arial"/>
          <w:b/>
          <w:sz w:val="20"/>
          <w:szCs w:val="20"/>
        </w:rPr>
        <w:t xml:space="preserve">. </w:t>
      </w:r>
      <w:r w:rsidRPr="00ED0FA4">
        <w:rPr>
          <w:rFonts w:ascii="Arial" w:hAnsi="Arial" w:cs="Arial"/>
          <w:sz w:val="20"/>
          <w:szCs w:val="20"/>
        </w:rPr>
        <w:t>V</w:t>
      </w:r>
      <w:r>
        <w:rPr>
          <w:rFonts w:ascii="Arial" w:hAnsi="Arial" w:cs="Arial"/>
          <w:sz w:val="20"/>
          <w:szCs w:val="20"/>
        </w:rPr>
        <w:t xml:space="preserve">olume único, </w:t>
      </w:r>
      <w:r w:rsidRPr="00ED0FA4">
        <w:rPr>
          <w:rFonts w:ascii="Arial" w:eastAsia="ArialMT" w:hAnsi="Arial" w:cs="Arial"/>
          <w:sz w:val="20"/>
          <w:szCs w:val="20"/>
        </w:rPr>
        <w:t>8ª. ed. rev, atual. e ampl. – Rio de Janeiro: Forense; São Paulo: M</w:t>
      </w:r>
      <w:r>
        <w:rPr>
          <w:rFonts w:ascii="Arial" w:eastAsia="ArialMT" w:hAnsi="Arial" w:cs="Arial"/>
          <w:sz w:val="20"/>
          <w:szCs w:val="20"/>
        </w:rPr>
        <w:t>étodo, 2018, p. 1220).</w:t>
      </w:r>
    </w:p>
  </w:footnote>
  <w:footnote w:id="32">
    <w:p w:rsidR="00E563F1" w:rsidRPr="00915A1F" w:rsidRDefault="00E563F1" w:rsidP="0050777A">
      <w:pPr>
        <w:pStyle w:val="Textodenotaderodap"/>
        <w:jc w:val="both"/>
        <w:rPr>
          <w:rFonts w:ascii="Arial" w:hAnsi="Arial" w:cs="Arial"/>
        </w:rPr>
      </w:pPr>
      <w:r w:rsidRPr="00915A1F">
        <w:rPr>
          <w:rStyle w:val="Refdenotaderodap"/>
          <w:rFonts w:ascii="Arial" w:hAnsi="Arial" w:cs="Arial"/>
        </w:rPr>
        <w:footnoteRef/>
      </w:r>
      <w:r w:rsidRPr="00915A1F">
        <w:rPr>
          <w:rFonts w:ascii="Arial" w:hAnsi="Arial" w:cs="Arial"/>
        </w:rPr>
        <w:t xml:space="preserve"> LÔBO, Paulo. </w:t>
      </w:r>
      <w:r w:rsidRPr="00915A1F">
        <w:rPr>
          <w:rFonts w:ascii="Arial" w:hAnsi="Arial" w:cs="Arial"/>
          <w:b/>
          <w:bCs/>
        </w:rPr>
        <w:t>Direito Civil</w:t>
      </w:r>
      <w:r w:rsidRPr="00915A1F">
        <w:rPr>
          <w:rFonts w:ascii="Arial" w:hAnsi="Arial" w:cs="Arial"/>
          <w:b/>
        </w:rPr>
        <w:t>: Famílias.</w:t>
      </w:r>
      <w:r w:rsidRPr="00915A1F">
        <w:rPr>
          <w:rFonts w:ascii="Arial" w:hAnsi="Arial" w:cs="Arial"/>
        </w:rPr>
        <w:t xml:space="preserve"> 4ª. ed. – São Paulo: Saraiva, 2011, p. 326. </w:t>
      </w:r>
    </w:p>
  </w:footnote>
  <w:footnote w:id="33">
    <w:p w:rsidR="00E563F1" w:rsidRPr="00915A1F" w:rsidRDefault="00E563F1" w:rsidP="0050777A">
      <w:pPr>
        <w:pStyle w:val="Textodenotaderodap"/>
        <w:jc w:val="both"/>
        <w:rPr>
          <w:rFonts w:ascii="Arial" w:hAnsi="Arial" w:cs="Arial"/>
        </w:rPr>
      </w:pPr>
      <w:r w:rsidRPr="00915A1F">
        <w:rPr>
          <w:rStyle w:val="Refdenotaderodap"/>
          <w:rFonts w:ascii="Arial" w:hAnsi="Arial" w:cs="Arial"/>
        </w:rPr>
        <w:footnoteRef/>
      </w:r>
      <w:r w:rsidRPr="00915A1F">
        <w:rPr>
          <w:rFonts w:ascii="Arial" w:hAnsi="Arial" w:cs="Arial"/>
        </w:rPr>
        <w:t xml:space="preserve"> Ibidem.</w:t>
      </w:r>
    </w:p>
  </w:footnote>
  <w:footnote w:id="34">
    <w:p w:rsidR="00E563F1" w:rsidRDefault="00E563F1" w:rsidP="0050777A">
      <w:pPr>
        <w:pStyle w:val="Textodenotaderodap"/>
        <w:jc w:val="both"/>
      </w:pPr>
      <w:r w:rsidRPr="00915A1F">
        <w:rPr>
          <w:rStyle w:val="Refdenotaderodap"/>
          <w:rFonts w:ascii="Arial" w:hAnsi="Arial" w:cs="Arial"/>
        </w:rPr>
        <w:footnoteRef/>
      </w:r>
      <w:r w:rsidRPr="00915A1F">
        <w:rPr>
          <w:rFonts w:ascii="Arial" w:hAnsi="Arial" w:cs="Arial"/>
        </w:rPr>
        <w:t xml:space="preserve"> </w:t>
      </w:r>
      <w:r w:rsidRPr="009D7177">
        <w:rPr>
          <w:rFonts w:ascii="Arial" w:hAnsi="Arial" w:cs="Arial"/>
        </w:rPr>
        <w:t xml:space="preserve">DINIZ, Maria Helena. </w:t>
      </w:r>
      <w:r w:rsidRPr="009D7177">
        <w:rPr>
          <w:rFonts w:ascii="Arial" w:hAnsi="Arial" w:cs="Arial"/>
          <w:b/>
        </w:rPr>
        <w:t>Curso de Direito Civil Brasileiro, 5º vol: Direito de Família</w:t>
      </w:r>
      <w:r w:rsidRPr="009D7177">
        <w:rPr>
          <w:rFonts w:ascii="Arial" w:hAnsi="Arial" w:cs="Arial"/>
        </w:rPr>
        <w:t xml:space="preserve">. 22 ed. rev. e </w:t>
      </w:r>
      <w:r w:rsidRPr="00C77C56">
        <w:rPr>
          <w:rFonts w:ascii="Arial" w:hAnsi="Arial" w:cs="Arial"/>
        </w:rPr>
        <w:t xml:space="preserve">atual. – São </w:t>
      </w:r>
      <w:r>
        <w:rPr>
          <w:rFonts w:ascii="Arial" w:hAnsi="Arial" w:cs="Arial"/>
        </w:rPr>
        <w:t xml:space="preserve">Paulo: Saraiva, 2007, p. </w:t>
      </w:r>
      <w:r w:rsidRPr="00915A1F">
        <w:rPr>
          <w:rFonts w:ascii="Arial" w:hAnsi="Arial" w:cs="Arial"/>
        </w:rPr>
        <w:t>185.</w:t>
      </w:r>
      <w:r>
        <w:t xml:space="preserve"> </w:t>
      </w:r>
    </w:p>
  </w:footnote>
  <w:footnote w:id="35">
    <w:p w:rsidR="00E563F1" w:rsidRPr="00C51A7F" w:rsidRDefault="00E563F1" w:rsidP="00C51A7F">
      <w:pPr>
        <w:tabs>
          <w:tab w:val="left" w:pos="4830"/>
        </w:tabs>
        <w:spacing w:line="240" w:lineRule="auto"/>
        <w:jc w:val="both"/>
        <w:rPr>
          <w:rFonts w:ascii="Arial" w:hAnsi="Arial" w:cs="Arial"/>
          <w:sz w:val="20"/>
          <w:szCs w:val="20"/>
        </w:rPr>
      </w:pPr>
      <w:r w:rsidRPr="00C51A7F">
        <w:rPr>
          <w:rStyle w:val="Refdenotaderodap"/>
          <w:rFonts w:ascii="Arial" w:hAnsi="Arial" w:cs="Arial"/>
          <w:sz w:val="20"/>
          <w:szCs w:val="20"/>
        </w:rPr>
        <w:footnoteRef/>
      </w:r>
      <w:r w:rsidRPr="00C51A7F">
        <w:rPr>
          <w:rFonts w:ascii="Arial" w:hAnsi="Arial" w:cs="Arial"/>
          <w:sz w:val="20"/>
          <w:szCs w:val="20"/>
        </w:rPr>
        <w:t xml:space="preserve"> Nesse sentido, o Enunciado nº 261, da III Jornada de Direito Civil, dispõe que a obrigatoriedade de referido regime não se aplica se o casamento for precedido de união estável entre os nubentes, uma vez que, nessa hipótese, em tese não haveria – pelo menos não com tanta alta probabilidade – o interesse financeiro na celebração do matrimônio. </w:t>
      </w:r>
      <w:r>
        <w:rPr>
          <w:rFonts w:ascii="Arial" w:hAnsi="Arial" w:cs="Arial"/>
          <w:sz w:val="20"/>
          <w:szCs w:val="20"/>
        </w:rPr>
        <w:t>(Ibidem, p. 186).</w:t>
      </w:r>
    </w:p>
  </w:footnote>
  <w:footnote w:id="36">
    <w:p w:rsidR="00600063" w:rsidRPr="00600063" w:rsidRDefault="00600063" w:rsidP="00362924">
      <w:pPr>
        <w:pStyle w:val="Textodenotaderodap"/>
        <w:jc w:val="both"/>
        <w:rPr>
          <w:rFonts w:ascii="Arial" w:hAnsi="Arial" w:cs="Arial"/>
        </w:rPr>
      </w:pPr>
      <w:r w:rsidRPr="00600063">
        <w:rPr>
          <w:rStyle w:val="Refdenotaderodap"/>
          <w:rFonts w:ascii="Arial" w:hAnsi="Arial" w:cs="Arial"/>
        </w:rPr>
        <w:footnoteRef/>
      </w:r>
      <w:r w:rsidRPr="00600063">
        <w:rPr>
          <w:rFonts w:ascii="Arial" w:hAnsi="Arial" w:cs="Arial"/>
        </w:rPr>
        <w:t xml:space="preserve"> A Lei nº 13.811/19 proibiu o casamento de menores de 16 anos, de modo que não há se falar em suprimento judicial nessa hipótese, tampouco para evitar imposição de pena criminal ou em caso de gravidez.</w:t>
      </w:r>
      <w:r>
        <w:rPr>
          <w:rFonts w:ascii="Arial" w:hAnsi="Arial" w:cs="Arial"/>
        </w:rPr>
        <w:t xml:space="preserve"> (</w:t>
      </w:r>
      <w:r w:rsidR="00362924">
        <w:rPr>
          <w:rFonts w:ascii="Arial" w:hAnsi="Arial" w:cs="Arial"/>
        </w:rPr>
        <w:t xml:space="preserve">BRASIL, Câmara dos Deputados. </w:t>
      </w:r>
      <w:r>
        <w:rPr>
          <w:rFonts w:ascii="Arial" w:hAnsi="Arial" w:cs="Arial"/>
        </w:rPr>
        <w:t xml:space="preserve">Disponível em </w:t>
      </w:r>
      <w:r w:rsidRPr="00600063">
        <w:rPr>
          <w:rFonts w:ascii="Arial" w:hAnsi="Arial" w:cs="Arial"/>
        </w:rPr>
        <w:t>&lt;</w:t>
      </w:r>
      <w:hyperlink r:id="rId3" w:history="1">
        <w:r w:rsidRPr="00600063">
          <w:rPr>
            <w:rStyle w:val="Hyperlink"/>
            <w:rFonts w:ascii="Arial" w:hAnsi="Arial" w:cs="Arial"/>
            <w:color w:val="auto"/>
            <w:u w:val="none"/>
          </w:rPr>
          <w:t>https://www.camara.leg.br/noticias/553631-sancionada-lei-que-proibe-casamento-antes-dos-16-anos-de-idade/</w:t>
        </w:r>
      </w:hyperlink>
      <w:r w:rsidRPr="00600063">
        <w:rPr>
          <w:rFonts w:ascii="Arial" w:hAnsi="Arial" w:cs="Arial"/>
        </w:rPr>
        <w:t>&gt; Acesso em 01 nov. 2019</w:t>
      </w:r>
      <w:r w:rsidR="00362924">
        <w:rPr>
          <w:rFonts w:ascii="Arial" w:hAnsi="Arial" w:cs="Arial"/>
        </w:rPr>
        <w:t>)</w:t>
      </w:r>
      <w:r w:rsidRPr="00600063">
        <w:rPr>
          <w:rFonts w:ascii="Arial" w:hAnsi="Arial" w:cs="Arial"/>
        </w:rPr>
        <w:t>.</w:t>
      </w:r>
    </w:p>
  </w:footnote>
  <w:footnote w:id="37">
    <w:p w:rsidR="007C3CC2" w:rsidRPr="007C3CC2" w:rsidRDefault="007C3CC2" w:rsidP="007C3CC2">
      <w:pPr>
        <w:pStyle w:val="Textodenotaderodap"/>
        <w:jc w:val="both"/>
        <w:rPr>
          <w:rFonts w:ascii="Arial" w:hAnsi="Arial" w:cs="Arial"/>
        </w:rPr>
      </w:pPr>
      <w:r w:rsidRPr="007C3CC2">
        <w:rPr>
          <w:rStyle w:val="Refdenotaderodap"/>
          <w:rFonts w:ascii="Arial" w:hAnsi="Arial" w:cs="Arial"/>
        </w:rPr>
        <w:footnoteRef/>
      </w:r>
      <w:r>
        <w:rPr>
          <w:rFonts w:ascii="Arial" w:hAnsi="Arial" w:cs="Arial"/>
        </w:rPr>
        <w:t xml:space="preserve"> SIMÃO, José Fernando. </w:t>
      </w:r>
      <w:r w:rsidRPr="007C3CC2">
        <w:rPr>
          <w:rFonts w:ascii="Arial" w:hAnsi="Arial" w:cs="Arial"/>
          <w:b/>
        </w:rPr>
        <w:t>Questões Controvertidas – a mudança do regime de bens.</w:t>
      </w:r>
      <w:r w:rsidRPr="007C3CC2">
        <w:rPr>
          <w:rFonts w:ascii="Arial" w:hAnsi="Arial" w:cs="Arial"/>
        </w:rPr>
        <w:t xml:space="preserve"> </w:t>
      </w:r>
      <w:r>
        <w:rPr>
          <w:rFonts w:ascii="Arial" w:hAnsi="Arial" w:cs="Arial"/>
        </w:rPr>
        <w:t>Disponível em &lt;</w:t>
      </w:r>
      <w:hyperlink r:id="rId4" w:history="1">
        <w:r w:rsidRPr="007C3CC2">
          <w:rPr>
            <w:rStyle w:val="Hyperlink"/>
            <w:rFonts w:ascii="Arial" w:hAnsi="Arial" w:cs="Arial"/>
            <w:color w:val="auto"/>
            <w:u w:val="none"/>
          </w:rPr>
          <w:t>http://professorsimao.com.br/artigos_simao_regime_bens_03.htm</w:t>
        </w:r>
      </w:hyperlink>
      <w:r>
        <w:rPr>
          <w:rFonts w:ascii="Arial" w:hAnsi="Arial" w:cs="Arial"/>
        </w:rPr>
        <w:t>&gt;; Acesso em 01 nov. 2019.</w:t>
      </w:r>
    </w:p>
  </w:footnote>
  <w:footnote w:id="38">
    <w:p w:rsidR="00E563F1" w:rsidRPr="00AA588E" w:rsidRDefault="00E563F1" w:rsidP="00126ED2">
      <w:pPr>
        <w:pStyle w:val="Textodenotaderodap"/>
        <w:jc w:val="both"/>
        <w:rPr>
          <w:rFonts w:ascii="Arial" w:hAnsi="Arial" w:cs="Arial"/>
        </w:rPr>
      </w:pPr>
      <w:r w:rsidRPr="00E002E5">
        <w:rPr>
          <w:rStyle w:val="Refdenotaderodap"/>
          <w:rFonts w:ascii="Arial" w:hAnsi="Arial" w:cs="Arial"/>
        </w:rPr>
        <w:footnoteRef/>
      </w:r>
      <w:r w:rsidRPr="00E002E5">
        <w:rPr>
          <w:rFonts w:ascii="Arial" w:hAnsi="Arial" w:cs="Arial"/>
        </w:rPr>
        <w:t xml:space="preserve"> </w:t>
      </w:r>
      <w:r>
        <w:rPr>
          <w:rFonts w:ascii="Arial" w:hAnsi="Arial" w:cs="Arial"/>
        </w:rPr>
        <w:t>LÔ</w:t>
      </w:r>
      <w:r w:rsidRPr="00C600E3">
        <w:rPr>
          <w:rFonts w:ascii="Arial" w:hAnsi="Arial" w:cs="Arial"/>
        </w:rPr>
        <w:t xml:space="preserve">BO, Paulo. </w:t>
      </w:r>
      <w:r w:rsidRPr="00C600E3">
        <w:rPr>
          <w:rFonts w:ascii="Arial" w:hAnsi="Arial" w:cs="Arial"/>
          <w:b/>
          <w:bCs/>
        </w:rPr>
        <w:t>Direito Civil</w:t>
      </w:r>
      <w:r w:rsidRPr="00C600E3">
        <w:rPr>
          <w:rFonts w:ascii="Arial" w:hAnsi="Arial" w:cs="Arial"/>
          <w:b/>
        </w:rPr>
        <w:t>: Famílias.</w:t>
      </w:r>
      <w:r w:rsidRPr="00C600E3">
        <w:rPr>
          <w:rFonts w:ascii="Arial" w:hAnsi="Arial" w:cs="Arial"/>
        </w:rPr>
        <w:t xml:space="preserve"> 4ª. ed. – </w:t>
      </w:r>
      <w:r>
        <w:rPr>
          <w:rFonts w:ascii="Arial" w:hAnsi="Arial" w:cs="Arial"/>
        </w:rPr>
        <w:t>São Paulo: Saraiva, 2011, p. 355.</w:t>
      </w:r>
    </w:p>
  </w:footnote>
  <w:footnote w:id="39">
    <w:p w:rsidR="00E563F1" w:rsidRPr="00872479" w:rsidRDefault="00E563F1" w:rsidP="00E00FFA">
      <w:pPr>
        <w:pStyle w:val="Textodenotaderodap"/>
        <w:jc w:val="both"/>
        <w:rPr>
          <w:rFonts w:ascii="Arial" w:hAnsi="Arial" w:cs="Arial"/>
        </w:rPr>
      </w:pPr>
      <w:r w:rsidRPr="00872479">
        <w:rPr>
          <w:rStyle w:val="Refdenotaderodap"/>
          <w:rFonts w:ascii="Arial" w:hAnsi="Arial" w:cs="Arial"/>
        </w:rPr>
        <w:footnoteRef/>
      </w:r>
      <w:r w:rsidRPr="00872479">
        <w:rPr>
          <w:rFonts w:ascii="Arial" w:hAnsi="Arial" w:cs="Arial"/>
        </w:rPr>
        <w:t xml:space="preserve"> </w:t>
      </w:r>
      <w:r w:rsidRPr="00971349">
        <w:rPr>
          <w:rFonts w:ascii="Arial" w:hAnsi="Arial" w:cs="Arial"/>
        </w:rPr>
        <w:t xml:space="preserve">CABRILLAC, Rémy. </w:t>
      </w:r>
      <w:r w:rsidRPr="00971349">
        <w:rPr>
          <w:rFonts w:ascii="Arial" w:hAnsi="Arial" w:cs="Arial"/>
          <w:b/>
        </w:rPr>
        <w:t>Droit Civil: Les régimes matrimoniaux</w:t>
      </w:r>
      <w:r w:rsidRPr="00971349">
        <w:rPr>
          <w:rFonts w:ascii="Arial" w:hAnsi="Arial" w:cs="Arial"/>
        </w:rPr>
        <w:t xml:space="preserve">. </w:t>
      </w:r>
      <w:r w:rsidRPr="00971349">
        <w:rPr>
          <w:rFonts w:ascii="Arial" w:hAnsi="Arial" w:cs="Arial"/>
          <w:lang w:val="en-US"/>
        </w:rPr>
        <w:t xml:space="preserve">Paris: Montchrestien, 2002, p. 89. In: LÔBO, Paulo. </w:t>
      </w:r>
      <w:r w:rsidRPr="00971349">
        <w:rPr>
          <w:rFonts w:ascii="Arial" w:hAnsi="Arial" w:cs="Arial"/>
          <w:b/>
          <w:bCs/>
        </w:rPr>
        <w:t>Direito Civil</w:t>
      </w:r>
      <w:r w:rsidRPr="00971349">
        <w:rPr>
          <w:rFonts w:ascii="Arial" w:hAnsi="Arial" w:cs="Arial"/>
          <w:b/>
        </w:rPr>
        <w:t>: Famílias.</w:t>
      </w:r>
      <w:r w:rsidRPr="00971349">
        <w:rPr>
          <w:rFonts w:ascii="Arial" w:hAnsi="Arial" w:cs="Arial"/>
        </w:rPr>
        <w:t xml:space="preserve"> 4ª. ed. – São</w:t>
      </w:r>
      <w:r>
        <w:rPr>
          <w:rFonts w:ascii="Arial" w:hAnsi="Arial" w:cs="Arial"/>
        </w:rPr>
        <w:t xml:space="preserve"> Paulo: Saraiva, 2011, p. 320. </w:t>
      </w:r>
    </w:p>
  </w:footnote>
  <w:footnote w:id="40">
    <w:p w:rsidR="00E563F1" w:rsidRPr="00916551" w:rsidRDefault="00E563F1" w:rsidP="008411CB">
      <w:pPr>
        <w:pStyle w:val="Textodenotaderodap"/>
        <w:jc w:val="both"/>
        <w:rPr>
          <w:rFonts w:ascii="Arial" w:hAnsi="Arial" w:cs="Arial"/>
        </w:rPr>
      </w:pPr>
      <w:r w:rsidRPr="00916551">
        <w:rPr>
          <w:rStyle w:val="Refdenotaderodap"/>
          <w:rFonts w:ascii="Arial" w:hAnsi="Arial" w:cs="Arial"/>
        </w:rPr>
        <w:footnoteRef/>
      </w:r>
      <w:r w:rsidRPr="00916551">
        <w:rPr>
          <w:rFonts w:ascii="Arial" w:hAnsi="Arial" w:cs="Arial"/>
        </w:rPr>
        <w:t xml:space="preserve"> Ibidem, p. 320. </w:t>
      </w:r>
    </w:p>
  </w:footnote>
  <w:footnote w:id="41">
    <w:p w:rsidR="00E563F1" w:rsidRPr="00126810" w:rsidRDefault="00E563F1" w:rsidP="00126810">
      <w:pPr>
        <w:pStyle w:val="Textodenotaderodap"/>
        <w:jc w:val="both"/>
        <w:rPr>
          <w:rFonts w:ascii="Arial" w:hAnsi="Arial" w:cs="Arial"/>
        </w:rPr>
      </w:pPr>
      <w:r w:rsidRPr="00126810">
        <w:rPr>
          <w:rStyle w:val="Refdenotaderodap"/>
          <w:rFonts w:ascii="Arial" w:hAnsi="Arial" w:cs="Arial"/>
        </w:rPr>
        <w:footnoteRef/>
      </w:r>
      <w:r w:rsidRPr="00126810">
        <w:rPr>
          <w:rFonts w:ascii="Arial" w:hAnsi="Arial" w:cs="Arial"/>
        </w:rPr>
        <w:t xml:space="preserve"> BEVILACQUA, Clóvis. </w:t>
      </w:r>
      <w:r w:rsidRPr="00205A16">
        <w:rPr>
          <w:rFonts w:ascii="Arial" w:hAnsi="Arial" w:cs="Arial"/>
          <w:b/>
        </w:rPr>
        <w:t>Direito das Sucessões</w:t>
      </w:r>
      <w:r w:rsidRPr="00126810">
        <w:rPr>
          <w:rFonts w:ascii="Arial" w:hAnsi="Arial" w:cs="Arial"/>
        </w:rPr>
        <w:t>. 4ª ed. Rio de Janeiro: Paulo de Azeredo, 1945.</w:t>
      </w:r>
    </w:p>
  </w:footnote>
  <w:footnote w:id="42">
    <w:p w:rsidR="00E563F1" w:rsidRPr="00171755" w:rsidRDefault="00E563F1" w:rsidP="00171755">
      <w:pPr>
        <w:pStyle w:val="Textodenotaderodap"/>
        <w:jc w:val="both"/>
        <w:rPr>
          <w:rFonts w:ascii="Arial" w:hAnsi="Arial" w:cs="Arial"/>
        </w:rPr>
      </w:pPr>
      <w:r w:rsidRPr="00916551">
        <w:rPr>
          <w:rStyle w:val="Refdenotaderodap"/>
          <w:rFonts w:ascii="Arial" w:hAnsi="Arial" w:cs="Arial"/>
        </w:rPr>
        <w:footnoteRef/>
      </w:r>
      <w:r w:rsidRPr="00916551">
        <w:rPr>
          <w:rFonts w:ascii="Arial" w:hAnsi="Arial" w:cs="Arial"/>
        </w:rPr>
        <w:t xml:space="preserve"> PEREIRA, Caio Mário da Silva. </w:t>
      </w:r>
      <w:r w:rsidRPr="00916551">
        <w:rPr>
          <w:rFonts w:ascii="Arial" w:hAnsi="Arial" w:cs="Arial"/>
          <w:b/>
        </w:rPr>
        <w:t>Instituições de Direito Civil</w:t>
      </w:r>
      <w:r>
        <w:rPr>
          <w:rFonts w:ascii="Arial" w:hAnsi="Arial" w:cs="Arial"/>
          <w:b/>
        </w:rPr>
        <w:t xml:space="preserve">. </w:t>
      </w:r>
      <w:r w:rsidRPr="00916551">
        <w:rPr>
          <w:rFonts w:ascii="Arial" w:hAnsi="Arial" w:cs="Arial"/>
        </w:rPr>
        <w:t xml:space="preserve">Vol. 6. 11ª ed. Rio de Janeiro: Forense, </w:t>
      </w:r>
      <w:r w:rsidRPr="00171755">
        <w:rPr>
          <w:rFonts w:ascii="Arial" w:hAnsi="Arial" w:cs="Arial"/>
        </w:rPr>
        <w:t>1996.</w:t>
      </w:r>
    </w:p>
  </w:footnote>
  <w:footnote w:id="43">
    <w:p w:rsidR="00E563F1" w:rsidRPr="004723FF" w:rsidRDefault="00E563F1" w:rsidP="00760024">
      <w:pPr>
        <w:pStyle w:val="Textodenotaderodap"/>
        <w:jc w:val="both"/>
        <w:rPr>
          <w:rFonts w:ascii="Arial" w:hAnsi="Arial" w:cs="Arial"/>
        </w:rPr>
      </w:pPr>
      <w:r w:rsidRPr="004723FF">
        <w:rPr>
          <w:rStyle w:val="Refdenotaderodap"/>
          <w:rFonts w:ascii="Arial" w:hAnsi="Arial" w:cs="Arial"/>
        </w:rPr>
        <w:footnoteRef/>
      </w:r>
      <w:r w:rsidRPr="004723FF">
        <w:rPr>
          <w:rFonts w:ascii="Arial" w:hAnsi="Arial" w:cs="Arial"/>
        </w:rPr>
        <w:t xml:space="preserve"> TARTUCE, Flávio. </w:t>
      </w:r>
      <w:r w:rsidRPr="004723FF">
        <w:rPr>
          <w:rFonts w:ascii="Arial" w:hAnsi="Arial" w:cs="Arial"/>
          <w:b/>
        </w:rPr>
        <w:t xml:space="preserve">Manual de Direito Civil. </w:t>
      </w:r>
      <w:r w:rsidRPr="004723FF">
        <w:rPr>
          <w:rFonts w:ascii="Arial" w:hAnsi="Arial" w:cs="Arial"/>
        </w:rPr>
        <w:t xml:space="preserve">Volume único, </w:t>
      </w:r>
      <w:r w:rsidRPr="004723FF">
        <w:rPr>
          <w:rFonts w:ascii="Arial" w:eastAsia="ArialMT" w:hAnsi="Arial" w:cs="Arial"/>
        </w:rPr>
        <w:t>8ª. ed. rev, atual. e ampl. – Rio de Janeiro: Forense; São Paulo: Método, 2018, p. 1479.</w:t>
      </w:r>
    </w:p>
  </w:footnote>
  <w:footnote w:id="44">
    <w:p w:rsidR="00E563F1" w:rsidRPr="004723FF" w:rsidRDefault="00E563F1" w:rsidP="00760024">
      <w:pPr>
        <w:pStyle w:val="Textodenotaderodap"/>
        <w:jc w:val="both"/>
        <w:rPr>
          <w:rFonts w:ascii="Arial" w:hAnsi="Arial" w:cs="Arial"/>
        </w:rPr>
      </w:pPr>
      <w:r w:rsidRPr="004723FF">
        <w:rPr>
          <w:rStyle w:val="Refdenotaderodap"/>
          <w:rFonts w:ascii="Arial" w:hAnsi="Arial" w:cs="Arial"/>
        </w:rPr>
        <w:footnoteRef/>
      </w:r>
      <w:r w:rsidRPr="004723FF">
        <w:rPr>
          <w:rFonts w:ascii="Arial" w:hAnsi="Arial" w:cs="Arial"/>
        </w:rPr>
        <w:t xml:space="preserve"> </w:t>
      </w:r>
      <w:r>
        <w:rPr>
          <w:rFonts w:ascii="Arial" w:hAnsi="Arial" w:cs="Arial"/>
        </w:rPr>
        <w:t xml:space="preserve">Ibidem. </w:t>
      </w:r>
    </w:p>
  </w:footnote>
  <w:footnote w:id="45">
    <w:p w:rsidR="00E563F1" w:rsidRDefault="00E563F1" w:rsidP="00760024">
      <w:pPr>
        <w:pStyle w:val="Textodenotaderodap"/>
        <w:jc w:val="both"/>
      </w:pPr>
      <w:r w:rsidRPr="005F4476">
        <w:rPr>
          <w:rStyle w:val="Refdenotaderodap"/>
          <w:rFonts w:ascii="Arial" w:hAnsi="Arial" w:cs="Arial"/>
        </w:rPr>
        <w:footnoteRef/>
      </w:r>
      <w:r w:rsidRPr="005F4476">
        <w:rPr>
          <w:rFonts w:ascii="Arial" w:hAnsi="Arial" w:cs="Arial"/>
        </w:rPr>
        <w:t xml:space="preserve"> CAHALI</w:t>
      </w:r>
      <w:r w:rsidRPr="00171755">
        <w:rPr>
          <w:rFonts w:ascii="Arial" w:hAnsi="Arial" w:cs="Arial"/>
        </w:rPr>
        <w:t xml:space="preserve">, Francisco José; HIRONAKA, Giselda Maria. </w:t>
      </w:r>
      <w:r w:rsidRPr="00171755">
        <w:rPr>
          <w:rFonts w:ascii="Arial" w:hAnsi="Arial" w:cs="Arial"/>
          <w:b/>
        </w:rPr>
        <w:t>Direito das Sucessões.</w:t>
      </w:r>
      <w:r w:rsidRPr="00171755">
        <w:rPr>
          <w:rFonts w:ascii="Arial" w:hAnsi="Arial" w:cs="Arial"/>
        </w:rPr>
        <w:t xml:space="preserve"> 5ª ed. rev. São Paulo: Editora Revista dos Tribunais, 2014</w:t>
      </w:r>
      <w:r>
        <w:rPr>
          <w:rFonts w:ascii="Arial" w:hAnsi="Arial" w:cs="Arial"/>
        </w:rPr>
        <w:t>, p. 190.</w:t>
      </w:r>
    </w:p>
  </w:footnote>
  <w:footnote w:id="46">
    <w:p w:rsidR="00E563F1" w:rsidRDefault="00E563F1" w:rsidP="00760024">
      <w:pPr>
        <w:pStyle w:val="Textodenotaderodap"/>
        <w:jc w:val="both"/>
      </w:pPr>
      <w:r w:rsidRPr="00171755">
        <w:rPr>
          <w:rStyle w:val="Refdenotaderodap"/>
          <w:rFonts w:ascii="Arial" w:hAnsi="Arial" w:cs="Arial"/>
        </w:rPr>
        <w:footnoteRef/>
      </w:r>
      <w:r w:rsidRPr="00171755">
        <w:rPr>
          <w:rFonts w:ascii="Arial" w:hAnsi="Arial" w:cs="Arial"/>
        </w:rPr>
        <w:t xml:space="preserve"> A ordem de vocação hereditária refere-se à sequência legal de pessoas aptas a receber a herança. (</w:t>
      </w:r>
      <w:r>
        <w:rPr>
          <w:rFonts w:ascii="Arial" w:hAnsi="Arial" w:cs="Arial"/>
        </w:rPr>
        <w:t>Ibidem, p. 25)</w:t>
      </w:r>
      <w:r w:rsidRPr="00171755">
        <w:rPr>
          <w:rFonts w:ascii="Arial" w:hAnsi="Arial" w:cs="Arial"/>
        </w:rPr>
        <w:t>.</w:t>
      </w:r>
      <w:r>
        <w:t xml:space="preserve"> </w:t>
      </w:r>
    </w:p>
  </w:footnote>
  <w:footnote w:id="47">
    <w:p w:rsidR="00E563F1" w:rsidRPr="008E021E" w:rsidRDefault="00E563F1" w:rsidP="00760024">
      <w:pPr>
        <w:autoSpaceDE w:val="0"/>
        <w:autoSpaceDN w:val="0"/>
        <w:adjustRightInd w:val="0"/>
        <w:spacing w:line="240" w:lineRule="auto"/>
        <w:jc w:val="both"/>
        <w:rPr>
          <w:rFonts w:ascii="Arial" w:hAnsi="Arial" w:cs="Arial"/>
          <w:sz w:val="20"/>
          <w:szCs w:val="20"/>
        </w:rPr>
      </w:pPr>
      <w:r w:rsidRPr="00C00CE1">
        <w:rPr>
          <w:rStyle w:val="Refdenotaderodap"/>
          <w:rFonts w:ascii="Arial" w:hAnsi="Arial" w:cs="Arial"/>
          <w:sz w:val="20"/>
          <w:szCs w:val="20"/>
        </w:rPr>
        <w:footnoteRef/>
      </w:r>
      <w:r w:rsidRPr="00C00CE1">
        <w:rPr>
          <w:rFonts w:ascii="Arial" w:hAnsi="Arial" w:cs="Arial"/>
          <w:sz w:val="20"/>
          <w:szCs w:val="20"/>
        </w:rPr>
        <w:t xml:space="preserve"> “</w:t>
      </w:r>
      <w:r>
        <w:rPr>
          <w:rFonts w:ascii="Arial" w:hAnsi="Arial" w:cs="Arial"/>
          <w:sz w:val="20"/>
          <w:szCs w:val="20"/>
        </w:rPr>
        <w:t>N</w:t>
      </w:r>
      <w:r w:rsidRPr="00C00CE1">
        <w:rPr>
          <w:rFonts w:ascii="Arial" w:hAnsi="Arial" w:cs="Arial"/>
          <w:sz w:val="20"/>
          <w:szCs w:val="20"/>
        </w:rPr>
        <w:t xml:space="preserve">ão é legítimo desequiparar, para fins sucessórios, os cônjuges e os companheiros, isto é, a família formada pelo casamento e a formada por união estável. Tal hierarquização entre entidades familiares é incompatível </w:t>
      </w:r>
      <w:r w:rsidRPr="00176DF5">
        <w:rPr>
          <w:rFonts w:ascii="Arial" w:hAnsi="Arial" w:cs="Arial"/>
          <w:sz w:val="20"/>
          <w:szCs w:val="20"/>
        </w:rPr>
        <w:t>com a Constituição”. (</w:t>
      </w:r>
      <w:r>
        <w:rPr>
          <w:rFonts w:ascii="Arial" w:hAnsi="Arial" w:cs="Arial"/>
          <w:sz w:val="20"/>
          <w:szCs w:val="20"/>
        </w:rPr>
        <w:t xml:space="preserve">BRASIL, </w:t>
      </w:r>
      <w:r w:rsidRPr="00176DF5">
        <w:rPr>
          <w:rFonts w:ascii="Arial" w:hAnsi="Arial" w:cs="Arial"/>
          <w:sz w:val="20"/>
          <w:szCs w:val="20"/>
        </w:rPr>
        <w:t xml:space="preserve">STF, Recurso Extraordinário 878.694/MG, Rel. Min. Luís </w:t>
      </w:r>
      <w:r w:rsidRPr="008E021E">
        <w:rPr>
          <w:rFonts w:ascii="Arial" w:hAnsi="Arial" w:cs="Arial"/>
          <w:sz w:val="20"/>
          <w:szCs w:val="20"/>
        </w:rPr>
        <w:t>Roberto Barroso, j. 10.05.2017, publicado no Informativo n. 864 da Corte. Disponível em &lt;</w:t>
      </w:r>
      <w:hyperlink r:id="rId5" w:history="1">
        <w:r w:rsidRPr="008E021E">
          <w:rPr>
            <w:rStyle w:val="Hyperlink"/>
            <w:rFonts w:ascii="Arial" w:hAnsi="Arial" w:cs="Arial"/>
            <w:color w:val="auto"/>
            <w:sz w:val="20"/>
            <w:szCs w:val="20"/>
            <w:u w:val="none"/>
          </w:rPr>
          <w:t>http://portal.stf.jus.br/processos/downloadPeca.asp?id=306841295&amp;ext=.pdf</w:t>
        </w:r>
      </w:hyperlink>
      <w:r w:rsidRPr="008E021E">
        <w:rPr>
          <w:sz w:val="20"/>
          <w:szCs w:val="20"/>
        </w:rPr>
        <w:t>&gt;</w:t>
      </w:r>
      <w:r w:rsidRPr="008E021E">
        <w:rPr>
          <w:rFonts w:ascii="Arial" w:hAnsi="Arial" w:cs="Arial"/>
          <w:sz w:val="20"/>
          <w:szCs w:val="20"/>
        </w:rPr>
        <w:t>; Acesso em: 19 de outubro de 2019.</w:t>
      </w:r>
    </w:p>
  </w:footnote>
  <w:footnote w:id="48">
    <w:p w:rsidR="00E563F1" w:rsidRDefault="00E563F1" w:rsidP="00C66AE2">
      <w:pPr>
        <w:pStyle w:val="Textodenotaderodap"/>
        <w:jc w:val="both"/>
      </w:pPr>
      <w:r w:rsidRPr="00C66AE2">
        <w:rPr>
          <w:rStyle w:val="Refdenotaderodap"/>
          <w:rFonts w:ascii="Arial" w:hAnsi="Arial" w:cs="Arial"/>
        </w:rPr>
        <w:footnoteRef/>
      </w:r>
      <w:r w:rsidRPr="00C66AE2">
        <w:rPr>
          <w:rFonts w:ascii="Arial" w:hAnsi="Arial" w:cs="Arial"/>
        </w:rPr>
        <w:t xml:space="preserve"> </w:t>
      </w:r>
      <w:r>
        <w:rPr>
          <w:rFonts w:ascii="Arial" w:hAnsi="Arial" w:cs="Arial"/>
        </w:rPr>
        <w:t xml:space="preserve">Sobre a figura dos herdeiro necessários, </w:t>
      </w:r>
      <w:r w:rsidRPr="00C66AE2">
        <w:rPr>
          <w:rFonts w:ascii="Arial" w:hAnsi="Arial" w:cs="Arial"/>
          <w:color w:val="1A1A1A"/>
          <w:shd w:val="clear" w:color="auto" w:fill="FFFFFF"/>
        </w:rPr>
        <w:t xml:space="preserve">Itabaiana de Oliveira se refere aos vínculos “que fazem presumir qual seria a vontade do de cujus se tivesse disposto de seus bens, </w:t>
      </w:r>
      <w:r>
        <w:rPr>
          <w:rFonts w:ascii="Arial" w:hAnsi="Arial" w:cs="Arial"/>
          <w:color w:val="1A1A1A"/>
          <w:shd w:val="clear" w:color="auto" w:fill="FFFFFF"/>
        </w:rPr>
        <w:t>(...)</w:t>
      </w:r>
      <w:r w:rsidRPr="00C66AE2">
        <w:rPr>
          <w:rFonts w:ascii="Arial" w:hAnsi="Arial" w:cs="Arial"/>
          <w:color w:val="1A1A1A"/>
          <w:shd w:val="clear" w:color="auto" w:fill="FFFFFF"/>
        </w:rPr>
        <w:t>; porque o homem não tem objeto mais amado do que os seus filhos, por ser a sua causa eficiente, nem mais sagrada do que os pais, a quem deve o ser”</w:t>
      </w:r>
      <w:r>
        <w:rPr>
          <w:rFonts w:ascii="Arial" w:hAnsi="Arial" w:cs="Arial"/>
          <w:color w:val="1A1A1A"/>
          <w:shd w:val="clear" w:color="auto" w:fill="FFFFFF"/>
        </w:rPr>
        <w:t xml:space="preserve">. (OLIVEIRA, Itabaiana de. </w:t>
      </w:r>
      <w:r w:rsidRPr="00C66AE2">
        <w:rPr>
          <w:rFonts w:ascii="Arial" w:hAnsi="Arial" w:cs="Arial"/>
          <w:b/>
          <w:color w:val="1A1A1A"/>
          <w:shd w:val="clear" w:color="auto" w:fill="FFFFFF"/>
        </w:rPr>
        <w:t>Tratado de direito das sucessões. Vol. II. Da sucessão testamentária.</w:t>
      </w:r>
      <w:r w:rsidRPr="00C66AE2">
        <w:rPr>
          <w:rFonts w:ascii="Arial" w:hAnsi="Arial" w:cs="Arial"/>
          <w:color w:val="1A1A1A"/>
          <w:shd w:val="clear" w:color="auto" w:fill="FFFFFF"/>
        </w:rPr>
        <w:t xml:space="preserve"> São Paulo: Max Limonad, 1952, p</w:t>
      </w:r>
      <w:r w:rsidRPr="00F875D9">
        <w:rPr>
          <w:rFonts w:ascii="Arial" w:hAnsi="Arial" w:cs="Arial"/>
          <w:shd w:val="clear" w:color="auto" w:fill="FFFFFF"/>
        </w:rPr>
        <w:t xml:space="preserve">. 625). Em contraponto, Lacerda de Almeida contesta a presunção de afeição como fundamento da legítima, afirmando que “pode ser desmentida pela realidade” e que “nem está nas mãos do legislador suprir de modo completo as intenções do defunto” (LACERDA DE ALMEIDA, Francisco de Paula. </w:t>
      </w:r>
      <w:r>
        <w:rPr>
          <w:rFonts w:ascii="Arial" w:hAnsi="Arial" w:cs="Arial"/>
          <w:b/>
          <w:shd w:val="clear" w:color="auto" w:fill="FFFFFF"/>
        </w:rPr>
        <w:t>Su</w:t>
      </w:r>
      <w:r w:rsidRPr="00F875D9">
        <w:rPr>
          <w:rFonts w:ascii="Arial" w:hAnsi="Arial" w:cs="Arial"/>
          <w:b/>
          <w:shd w:val="clear" w:color="auto" w:fill="FFFFFF"/>
        </w:rPr>
        <w:t>cessões.</w:t>
      </w:r>
      <w:r w:rsidRPr="00F875D9">
        <w:rPr>
          <w:rFonts w:ascii="Arial" w:hAnsi="Arial" w:cs="Arial"/>
          <w:shd w:val="clear" w:color="auto" w:fill="FFFFFF"/>
        </w:rPr>
        <w:t xml:space="preserve"> Rio de Janeiro: Typ, 1915, p. 194</w:t>
      </w:r>
      <w:r>
        <w:rPr>
          <w:rFonts w:ascii="Arial" w:hAnsi="Arial" w:cs="Arial"/>
          <w:shd w:val="clear" w:color="auto" w:fill="FFFFFF"/>
        </w:rPr>
        <w:t xml:space="preserve">. In: DELGADO, Mário Luiz. </w:t>
      </w:r>
      <w:r w:rsidRPr="00D173FD">
        <w:rPr>
          <w:rFonts w:ascii="Arial" w:hAnsi="Arial" w:cs="Arial"/>
          <w:b/>
          <w:shd w:val="clear" w:color="auto" w:fill="FFFFFF"/>
        </w:rPr>
        <w:t>Chegou a hora de revisitar a legítimas dos descendentes e ascendentes.</w:t>
      </w:r>
      <w:r>
        <w:rPr>
          <w:rFonts w:ascii="Arial" w:hAnsi="Arial" w:cs="Arial"/>
          <w:shd w:val="clear" w:color="auto" w:fill="FFFFFF"/>
        </w:rPr>
        <w:t xml:space="preserve"> 13 de maio de 2018. Disponível em </w:t>
      </w:r>
      <w:r w:rsidRPr="00D173FD">
        <w:rPr>
          <w:rFonts w:ascii="Arial" w:hAnsi="Arial" w:cs="Arial"/>
          <w:shd w:val="clear" w:color="auto" w:fill="FFFFFF"/>
        </w:rPr>
        <w:t>&lt;</w:t>
      </w:r>
      <w:hyperlink r:id="rId6" w:anchor="_ftn5" w:history="1">
        <w:r w:rsidRPr="00D173FD">
          <w:rPr>
            <w:rStyle w:val="Hyperlink"/>
            <w:rFonts w:ascii="Arial" w:hAnsi="Arial" w:cs="Arial"/>
            <w:color w:val="auto"/>
            <w:u w:val="none"/>
          </w:rPr>
          <w:t>https://www.conjur.com.br/2018-mai-13/processo-familiar-preciso-revisitar-legitima-descendentes#_ftn5</w:t>
        </w:r>
      </w:hyperlink>
      <w:r w:rsidRPr="00D173FD">
        <w:rPr>
          <w:rFonts w:ascii="Arial" w:hAnsi="Arial" w:cs="Arial"/>
        </w:rPr>
        <w:t>&gt;; Acesso em: 19 de outubro de 2019</w:t>
      </w:r>
      <w:r w:rsidRPr="00D173FD">
        <w:rPr>
          <w:rFonts w:ascii="Arial" w:hAnsi="Arial" w:cs="Arial"/>
          <w:shd w:val="clear" w:color="auto" w:fill="FFFFFF"/>
        </w:rPr>
        <w:t>).</w:t>
      </w:r>
    </w:p>
  </w:footnote>
  <w:footnote w:id="49">
    <w:p w:rsidR="00E563F1" w:rsidRPr="00EF4479" w:rsidRDefault="00E563F1" w:rsidP="00EF4479">
      <w:pPr>
        <w:pStyle w:val="Textodenotaderodap"/>
        <w:jc w:val="both"/>
        <w:rPr>
          <w:rFonts w:ascii="Arial" w:hAnsi="Arial" w:cs="Arial"/>
        </w:rPr>
      </w:pPr>
      <w:r w:rsidRPr="00EF4479">
        <w:rPr>
          <w:rStyle w:val="Refdenotaderodap"/>
          <w:rFonts w:ascii="Arial" w:hAnsi="Arial" w:cs="Arial"/>
        </w:rPr>
        <w:footnoteRef/>
      </w:r>
      <w:r w:rsidRPr="00EF4479">
        <w:rPr>
          <w:rFonts w:ascii="Arial" w:hAnsi="Arial" w:cs="Arial"/>
        </w:rPr>
        <w:t xml:space="preserve"> </w:t>
      </w:r>
      <w:r w:rsidRPr="00171755">
        <w:rPr>
          <w:rFonts w:ascii="Arial" w:hAnsi="Arial" w:cs="Arial"/>
        </w:rPr>
        <w:t xml:space="preserve">CAHALI, Francisco José; HIRONAKA, Giselda Maria. </w:t>
      </w:r>
      <w:r w:rsidRPr="00171755">
        <w:rPr>
          <w:rFonts w:ascii="Arial" w:hAnsi="Arial" w:cs="Arial"/>
          <w:b/>
        </w:rPr>
        <w:t>Direito das Sucessões.</w:t>
      </w:r>
      <w:r w:rsidRPr="00171755">
        <w:rPr>
          <w:rFonts w:ascii="Arial" w:hAnsi="Arial" w:cs="Arial"/>
        </w:rPr>
        <w:t xml:space="preserve"> 5ª ed. rev. São Paulo: Editora Revista dos Tribunais, 2014</w:t>
      </w:r>
      <w:r>
        <w:rPr>
          <w:rFonts w:ascii="Arial" w:hAnsi="Arial" w:cs="Arial"/>
        </w:rPr>
        <w:t>, p. 51.</w:t>
      </w:r>
    </w:p>
  </w:footnote>
  <w:footnote w:id="50">
    <w:p w:rsidR="00E563F1" w:rsidRPr="00230B22" w:rsidRDefault="00E563F1" w:rsidP="00230B22">
      <w:pPr>
        <w:tabs>
          <w:tab w:val="left" w:pos="4830"/>
        </w:tabs>
        <w:spacing w:line="240" w:lineRule="auto"/>
        <w:jc w:val="both"/>
        <w:rPr>
          <w:rFonts w:ascii="Arial" w:hAnsi="Arial" w:cs="Arial"/>
          <w:sz w:val="20"/>
          <w:szCs w:val="20"/>
        </w:rPr>
      </w:pPr>
      <w:r w:rsidRPr="00DC0E14">
        <w:rPr>
          <w:rStyle w:val="Refdenotaderodap"/>
          <w:rFonts w:ascii="Arial" w:hAnsi="Arial" w:cs="Arial"/>
          <w:sz w:val="20"/>
          <w:szCs w:val="20"/>
        </w:rPr>
        <w:footnoteRef/>
      </w:r>
      <w:r w:rsidRPr="00DC0E14">
        <w:rPr>
          <w:rFonts w:ascii="Arial" w:hAnsi="Arial" w:cs="Arial"/>
          <w:sz w:val="20"/>
          <w:szCs w:val="20"/>
        </w:rPr>
        <w:t xml:space="preserve"> O Código Civil de 2002, inspirado nas ideias de Miguel Reale, alçou o cônjuge sobrevivente à citada categoria de herdeiro</w:t>
      </w:r>
      <w:r>
        <w:rPr>
          <w:rFonts w:ascii="Arial" w:hAnsi="Arial" w:cs="Arial"/>
          <w:sz w:val="20"/>
          <w:szCs w:val="20"/>
        </w:rPr>
        <w:t xml:space="preserve"> necessário</w:t>
      </w:r>
      <w:r w:rsidRPr="00DC0E14">
        <w:rPr>
          <w:rFonts w:ascii="Arial" w:hAnsi="Arial" w:cs="Arial"/>
          <w:sz w:val="20"/>
          <w:szCs w:val="20"/>
        </w:rPr>
        <w:t>.</w:t>
      </w:r>
      <w:r>
        <w:rPr>
          <w:rFonts w:ascii="Arial" w:hAnsi="Arial" w:cs="Arial"/>
          <w:sz w:val="20"/>
          <w:szCs w:val="20"/>
        </w:rPr>
        <w:t xml:space="preserve"> (NUNES, João Batista. </w:t>
      </w:r>
      <w:r w:rsidRPr="00722BDE">
        <w:rPr>
          <w:rFonts w:ascii="Arial" w:hAnsi="Arial" w:cs="Arial"/>
          <w:b/>
          <w:sz w:val="20"/>
          <w:szCs w:val="20"/>
        </w:rPr>
        <w:t xml:space="preserve">Família e sucessões: reflexos atuais. </w:t>
      </w:r>
      <w:r>
        <w:rPr>
          <w:rFonts w:ascii="Arial" w:hAnsi="Arial" w:cs="Arial"/>
          <w:sz w:val="20"/>
          <w:szCs w:val="20"/>
        </w:rPr>
        <w:t>Curitiba: Juruá, 2009, p. 372).</w:t>
      </w:r>
    </w:p>
  </w:footnote>
  <w:footnote w:id="51">
    <w:p w:rsidR="00E563F1" w:rsidRPr="00230B22" w:rsidRDefault="00E563F1" w:rsidP="00230B22">
      <w:pPr>
        <w:pStyle w:val="Textodenotaderodap"/>
        <w:jc w:val="both"/>
        <w:rPr>
          <w:rFonts w:ascii="Arial" w:hAnsi="Arial" w:cs="Arial"/>
        </w:rPr>
      </w:pPr>
      <w:r w:rsidRPr="00230B22">
        <w:rPr>
          <w:rStyle w:val="Refdenotaderodap"/>
          <w:rFonts w:ascii="Arial" w:hAnsi="Arial" w:cs="Arial"/>
        </w:rPr>
        <w:footnoteRef/>
      </w:r>
      <w:r w:rsidRPr="00230B22">
        <w:rPr>
          <w:rFonts w:ascii="Arial" w:hAnsi="Arial" w:cs="Arial"/>
        </w:rPr>
        <w:t xml:space="preserve"> DELGADO, Mário Luiz. Controvérsias na sucessão do cônjuge e do convivente. Uma proposta de harmonização do sistema. In: DELGADO, Mário Luiz; ALVES, Jones Figueirêdo. </w:t>
      </w:r>
      <w:r w:rsidRPr="00230B22">
        <w:rPr>
          <w:rFonts w:ascii="Arial" w:hAnsi="Arial" w:cs="Arial"/>
          <w:b/>
        </w:rPr>
        <w:t xml:space="preserve">Novo Código Civil, Questões Controvertidas. </w:t>
      </w:r>
      <w:r w:rsidRPr="00230B22">
        <w:rPr>
          <w:rFonts w:ascii="Arial" w:hAnsi="Arial" w:cs="Arial"/>
        </w:rPr>
        <w:t>São Paulo: Método, 2005. V. 3, p. 421.</w:t>
      </w:r>
    </w:p>
  </w:footnote>
  <w:footnote w:id="52">
    <w:p w:rsidR="00E563F1" w:rsidRPr="007C5FE0" w:rsidRDefault="00E563F1" w:rsidP="00760024">
      <w:pPr>
        <w:pStyle w:val="Textodenotaderodap"/>
        <w:jc w:val="both"/>
        <w:rPr>
          <w:rFonts w:ascii="Arial" w:hAnsi="Arial" w:cs="Arial"/>
        </w:rPr>
      </w:pPr>
      <w:r w:rsidRPr="007C5FE0">
        <w:rPr>
          <w:rStyle w:val="Refdenotaderodap"/>
          <w:rFonts w:ascii="Arial" w:hAnsi="Arial" w:cs="Arial"/>
        </w:rPr>
        <w:footnoteRef/>
      </w:r>
      <w:r w:rsidRPr="007C5FE0">
        <w:rPr>
          <w:rFonts w:ascii="Arial" w:hAnsi="Arial" w:cs="Arial"/>
        </w:rPr>
        <w:t xml:space="preserve"> A esse respeito,</w:t>
      </w:r>
      <w:r>
        <w:rPr>
          <w:rFonts w:ascii="Arial" w:hAnsi="Arial" w:cs="Arial"/>
        </w:rPr>
        <w:t xml:space="preserve"> Eduardo Oliveira Leite entende que o cônjuge passou a ocupar o primeiro lugar na ordem de preferência. Já</w:t>
      </w:r>
      <w:r w:rsidRPr="007C5FE0">
        <w:rPr>
          <w:rFonts w:ascii="Arial" w:hAnsi="Arial" w:cs="Arial"/>
        </w:rPr>
        <w:t xml:space="preserve"> Mário Luiz Delgado afirma que, nada obstante a concorrência com os herdeiros de primeira classe (descendentes) e segunda classe (ascendentes), o viúvo permanece como herdeiro de terceira classe</w:t>
      </w:r>
      <w:r>
        <w:rPr>
          <w:rFonts w:ascii="Arial" w:hAnsi="Arial" w:cs="Arial"/>
        </w:rPr>
        <w:t xml:space="preserve">: “(...) concorrendo um cônjuge e um filho, e havendo este renunciado à herança, a parte do filho acrescerá à do cônjuge, se for considerado herdeiro da primeira classe, ou será devolvida aos ascendentes (herdeiros da segunda classe), com os quais passará a concorrer o cônjuge”.  (Ibidem, p. 422). </w:t>
      </w:r>
    </w:p>
  </w:footnote>
  <w:footnote w:id="53">
    <w:p w:rsidR="00E563F1" w:rsidRPr="00895E85" w:rsidRDefault="00E563F1" w:rsidP="00DC0E14">
      <w:pPr>
        <w:pStyle w:val="Textodenotaderodap"/>
        <w:jc w:val="both"/>
        <w:rPr>
          <w:rFonts w:ascii="Arial" w:hAnsi="Arial" w:cs="Arial"/>
        </w:rPr>
      </w:pPr>
      <w:r w:rsidRPr="007401A1">
        <w:rPr>
          <w:rStyle w:val="Refdenotaderodap"/>
          <w:rFonts w:ascii="Arial" w:hAnsi="Arial" w:cs="Arial"/>
        </w:rPr>
        <w:footnoteRef/>
      </w:r>
      <w:r w:rsidRPr="007401A1">
        <w:rPr>
          <w:rFonts w:ascii="Arial" w:hAnsi="Arial" w:cs="Arial"/>
        </w:rPr>
        <w:t xml:space="preserve"> </w:t>
      </w:r>
      <w:r w:rsidRPr="004F6E2F">
        <w:rPr>
          <w:rFonts w:ascii="Arial" w:hAnsi="Arial" w:cs="Arial"/>
        </w:rPr>
        <w:t xml:space="preserve">Em linha reta, não há limitação de grau para configuração de herdeiro necessário, estendendo-se </w:t>
      </w:r>
      <w:r w:rsidRPr="00895E85">
        <w:rPr>
          <w:rFonts w:ascii="Arial" w:hAnsi="Arial" w:cs="Arial"/>
        </w:rPr>
        <w:t>ilimitadamente a pais, avós, bisavós, etc. e filhos, netos, bisnetos, etc. (Ibidem, p. 171).</w:t>
      </w:r>
    </w:p>
  </w:footnote>
  <w:footnote w:id="54">
    <w:p w:rsidR="00E563F1" w:rsidRDefault="00E563F1" w:rsidP="00895E85">
      <w:pPr>
        <w:pStyle w:val="Textodenotaderodap"/>
        <w:jc w:val="both"/>
      </w:pPr>
      <w:r w:rsidRPr="00895E85">
        <w:rPr>
          <w:rStyle w:val="Refdenotaderodap"/>
          <w:rFonts w:ascii="Arial" w:hAnsi="Arial" w:cs="Arial"/>
        </w:rPr>
        <w:footnoteRef/>
      </w:r>
      <w:r w:rsidRPr="00895E85">
        <w:rPr>
          <w:rFonts w:ascii="Arial" w:hAnsi="Arial" w:cs="Arial"/>
        </w:rPr>
        <w:t xml:space="preserve"> </w:t>
      </w:r>
      <w:r>
        <w:rPr>
          <w:rFonts w:ascii="Arial" w:hAnsi="Arial" w:cs="Arial"/>
        </w:rPr>
        <w:t xml:space="preserve">A respeito da mutabilidade do vínculo conjugal, José de Oliveira Ascensão afirma que “esse grande reforço da posição sucessória do cônjuge surge paradoxalmente ao mesmo tempo em que se torna o único vínculo conjugal cada vez mais facilmente dissolúvel. A posição do cônjuge é concebida como uma posição mutável, mesmo precária. Aquele, porém que teve a sorte de ocupar a posição de cônjuge na altura da morte, esse é que vai ter uma privilegiada proteção sucessória. Suceder como cônjuge entra na aleatoriedade. Por outras palavras, a lei só se preocupa em favorecer o vínculo conjugal depois de ele estar dissolvido Ironicamente, dizemos que a lei tende a conceber o casamento como um instituto </w:t>
      </w:r>
      <w:r w:rsidRPr="004A51E0">
        <w:rPr>
          <w:rFonts w:ascii="Arial" w:hAnsi="Arial" w:cs="Arial"/>
          <w:i/>
        </w:rPr>
        <w:t>mortis</w:t>
      </w:r>
      <w:r>
        <w:rPr>
          <w:rFonts w:ascii="Arial" w:hAnsi="Arial" w:cs="Arial"/>
        </w:rPr>
        <w:t xml:space="preserve"> </w:t>
      </w:r>
      <w:r w:rsidRPr="004A51E0">
        <w:rPr>
          <w:rFonts w:ascii="Arial" w:hAnsi="Arial" w:cs="Arial"/>
          <w:i/>
        </w:rPr>
        <w:t>causa</w:t>
      </w:r>
      <w:r>
        <w:rPr>
          <w:rFonts w:ascii="Arial" w:hAnsi="Arial" w:cs="Arial"/>
        </w:rPr>
        <w:t>. (</w:t>
      </w:r>
      <w:r w:rsidRPr="00895E85">
        <w:rPr>
          <w:rFonts w:ascii="Arial" w:hAnsi="Arial" w:cs="Arial"/>
        </w:rPr>
        <w:t xml:space="preserve">ASCENSÃO, José de Oliveira. </w:t>
      </w:r>
      <w:r w:rsidRPr="00895E85">
        <w:rPr>
          <w:rFonts w:ascii="Arial" w:hAnsi="Arial" w:cs="Arial"/>
          <w:b/>
        </w:rPr>
        <w:t>Direito Civil – Sucessões</w:t>
      </w:r>
      <w:r w:rsidRPr="00895E85">
        <w:rPr>
          <w:rFonts w:ascii="Arial" w:hAnsi="Arial" w:cs="Arial"/>
        </w:rPr>
        <w:t>. 5 ed., rev. Coimbra: Coimbra, p. 43-44</w:t>
      </w:r>
      <w:r>
        <w:rPr>
          <w:rFonts w:ascii="Arial" w:hAnsi="Arial" w:cs="Arial"/>
        </w:rPr>
        <w:t>)</w:t>
      </w:r>
      <w:r w:rsidRPr="00895E85">
        <w:rPr>
          <w:rFonts w:ascii="Arial" w:hAnsi="Arial" w:cs="Arial"/>
        </w:rPr>
        <w:t>.</w:t>
      </w:r>
    </w:p>
  </w:footnote>
  <w:footnote w:id="55">
    <w:p w:rsidR="00E563F1" w:rsidRPr="00C955F7" w:rsidRDefault="00E563F1" w:rsidP="00C955F7">
      <w:pPr>
        <w:pStyle w:val="Textodenotaderodap"/>
        <w:jc w:val="both"/>
        <w:rPr>
          <w:rFonts w:ascii="Arial" w:hAnsi="Arial" w:cs="Arial"/>
        </w:rPr>
      </w:pPr>
      <w:r w:rsidRPr="00C955F7">
        <w:rPr>
          <w:rStyle w:val="Refdenotaderodap"/>
          <w:rFonts w:ascii="Arial" w:hAnsi="Arial" w:cs="Arial"/>
        </w:rPr>
        <w:footnoteRef/>
      </w:r>
      <w:r w:rsidRPr="00C955F7">
        <w:rPr>
          <w:rFonts w:ascii="Arial" w:hAnsi="Arial" w:cs="Arial"/>
        </w:rPr>
        <w:t xml:space="preserve"> </w:t>
      </w:r>
      <w:r>
        <w:rPr>
          <w:rFonts w:ascii="Arial" w:hAnsi="Arial" w:cs="Arial"/>
        </w:rPr>
        <w:t>Sebastião Amorim defende que o direito à herança do cônjuge persiste independentemente do regime de bens adotado.</w:t>
      </w:r>
      <w:r w:rsidRPr="00C955F7">
        <w:rPr>
          <w:rFonts w:ascii="Arial" w:hAnsi="Arial" w:cs="Arial"/>
        </w:rPr>
        <w:t xml:space="preserve"> </w:t>
      </w:r>
      <w:r>
        <w:rPr>
          <w:rFonts w:ascii="Arial" w:hAnsi="Arial" w:cs="Arial"/>
        </w:rPr>
        <w:t>(</w:t>
      </w:r>
      <w:r w:rsidRPr="00C955F7">
        <w:rPr>
          <w:rFonts w:ascii="Arial" w:hAnsi="Arial" w:cs="Arial"/>
        </w:rPr>
        <w:t>AMORIM, Sebastião; OLIVEIRA, Euclides de</w:t>
      </w:r>
      <w:r w:rsidRPr="00C955F7">
        <w:rPr>
          <w:rFonts w:ascii="Arial" w:hAnsi="Arial" w:cs="Arial"/>
          <w:b/>
        </w:rPr>
        <w:t>. Inventários e Partilhas, Direito das Sucessões, Teoria e Prática.</w:t>
      </w:r>
      <w:r w:rsidRPr="00C955F7">
        <w:rPr>
          <w:rFonts w:ascii="Arial" w:hAnsi="Arial" w:cs="Arial"/>
        </w:rPr>
        <w:t xml:space="preserve"> 15ª ed. São Paulo: Leud, 2003, p. 70 e 99</w:t>
      </w:r>
      <w:r>
        <w:rPr>
          <w:rFonts w:ascii="Arial" w:hAnsi="Arial" w:cs="Arial"/>
        </w:rPr>
        <w:t>)</w:t>
      </w:r>
      <w:r w:rsidRPr="00C955F7">
        <w:rPr>
          <w:rFonts w:ascii="Arial" w:hAnsi="Arial" w:cs="Arial"/>
        </w:rPr>
        <w:t>.</w:t>
      </w:r>
    </w:p>
  </w:footnote>
  <w:footnote w:id="56">
    <w:p w:rsidR="00E563F1" w:rsidRPr="003E3BDA" w:rsidRDefault="00E563F1" w:rsidP="003E3BDA">
      <w:pPr>
        <w:pStyle w:val="Textodenotaderodap"/>
        <w:jc w:val="both"/>
        <w:rPr>
          <w:rFonts w:ascii="Arial" w:hAnsi="Arial" w:cs="Arial"/>
        </w:rPr>
      </w:pPr>
      <w:r w:rsidRPr="003E3BDA">
        <w:rPr>
          <w:rStyle w:val="Refdenotaderodap"/>
          <w:rFonts w:ascii="Arial" w:hAnsi="Arial" w:cs="Arial"/>
        </w:rPr>
        <w:footnoteRef/>
      </w:r>
      <w:r w:rsidRPr="003E3BDA">
        <w:rPr>
          <w:rFonts w:ascii="Arial" w:hAnsi="Arial" w:cs="Arial"/>
        </w:rPr>
        <w:t xml:space="preserve"> LEITE, Eduardo de Oliveira. </w:t>
      </w:r>
      <w:r w:rsidRPr="003E3BDA">
        <w:rPr>
          <w:rFonts w:ascii="Arial" w:hAnsi="Arial" w:cs="Arial"/>
          <w:b/>
        </w:rPr>
        <w:t>Comentários ao novo Código Civil – arts. 1784 a 2027</w:t>
      </w:r>
      <w:r w:rsidRPr="003E3BDA">
        <w:rPr>
          <w:rFonts w:ascii="Arial" w:hAnsi="Arial" w:cs="Arial"/>
        </w:rPr>
        <w:t>. 2ª ed. Rio de Janeiro: Forense, 2003. V. XXI, p. 215.</w:t>
      </w:r>
    </w:p>
  </w:footnote>
  <w:footnote w:id="57">
    <w:p w:rsidR="00E563F1" w:rsidRDefault="00E563F1" w:rsidP="006348EC">
      <w:pPr>
        <w:pStyle w:val="Textodenotaderodap"/>
        <w:jc w:val="both"/>
      </w:pPr>
      <w:r w:rsidRPr="00BC25DC">
        <w:rPr>
          <w:rStyle w:val="Refdenotaderodap"/>
          <w:rFonts w:ascii="Arial" w:hAnsi="Arial" w:cs="Arial"/>
        </w:rPr>
        <w:footnoteRef/>
      </w:r>
      <w:r w:rsidRPr="00BC25DC">
        <w:rPr>
          <w:rFonts w:ascii="Arial" w:hAnsi="Arial" w:cs="Arial"/>
        </w:rPr>
        <w:t xml:space="preserve"> </w:t>
      </w:r>
      <w:r w:rsidRPr="009D7177">
        <w:rPr>
          <w:rFonts w:ascii="Arial" w:hAnsi="Arial" w:cs="Arial"/>
        </w:rPr>
        <w:t xml:space="preserve">DINIZ, Maria Helena. </w:t>
      </w:r>
      <w:r w:rsidRPr="009D7177">
        <w:rPr>
          <w:rFonts w:ascii="Arial" w:hAnsi="Arial" w:cs="Arial"/>
          <w:b/>
        </w:rPr>
        <w:t>Curso de Direito Civil Brasileiro, 5º vol: Direito de Família</w:t>
      </w:r>
      <w:r w:rsidRPr="009D7177">
        <w:rPr>
          <w:rFonts w:ascii="Arial" w:hAnsi="Arial" w:cs="Arial"/>
        </w:rPr>
        <w:t xml:space="preserve">. 22 ed. rev. e </w:t>
      </w:r>
      <w:r w:rsidRPr="00C77C56">
        <w:rPr>
          <w:rFonts w:ascii="Arial" w:hAnsi="Arial" w:cs="Arial"/>
        </w:rPr>
        <w:t xml:space="preserve">atual. – São </w:t>
      </w:r>
      <w:r>
        <w:rPr>
          <w:rFonts w:ascii="Arial" w:hAnsi="Arial" w:cs="Arial"/>
        </w:rPr>
        <w:t>Paulo: Saraiva, 2007, p. 124.</w:t>
      </w:r>
    </w:p>
  </w:footnote>
  <w:footnote w:id="58">
    <w:p w:rsidR="00E563F1" w:rsidRPr="0000471A" w:rsidRDefault="00E563F1" w:rsidP="00592D95">
      <w:pPr>
        <w:pStyle w:val="Textodenotaderodap"/>
        <w:jc w:val="both"/>
        <w:rPr>
          <w:rFonts w:ascii="Arial" w:hAnsi="Arial" w:cs="Arial"/>
        </w:rPr>
      </w:pPr>
      <w:r w:rsidRPr="0000471A">
        <w:rPr>
          <w:rStyle w:val="Refdenotaderodap"/>
          <w:rFonts w:ascii="Arial" w:hAnsi="Arial" w:cs="Arial"/>
        </w:rPr>
        <w:footnoteRef/>
      </w:r>
      <w:r w:rsidRPr="0000471A">
        <w:rPr>
          <w:rFonts w:ascii="Arial" w:hAnsi="Arial" w:cs="Arial"/>
        </w:rPr>
        <w:t xml:space="preserve"> Flávio Tartuce, </w:t>
      </w:r>
      <w:r w:rsidRPr="0000471A">
        <w:rPr>
          <w:rFonts w:ascii="Arial" w:eastAsia="TimesNewRomanPSMT" w:hAnsi="Arial" w:cs="Arial"/>
        </w:rPr>
        <w:t xml:space="preserve">Eduardo de Oliveira Leite, Giselda Hironaka, Gustavo Nicolau, Jorge Fujita, José Fernando Simão, Maria Helena Daneluzzi, Mário Delgado, Rodrigo da Cunha Pereira, Rolf Madaleno, Sebastião Amorim, Euclides de Oliveira e Zeno Veloso compactuam do entendimento de que a concorrência do cônjuge sobrevivente à herança do </w:t>
      </w:r>
      <w:r w:rsidRPr="0000471A">
        <w:rPr>
          <w:rFonts w:ascii="Arial" w:eastAsia="TimesNewRomanPSMT" w:hAnsi="Arial" w:cs="Arial"/>
          <w:i/>
        </w:rPr>
        <w:t xml:space="preserve">de cujus </w:t>
      </w:r>
      <w:r w:rsidRPr="0000471A">
        <w:rPr>
          <w:rFonts w:ascii="Arial" w:eastAsia="TimesNewRomanPSMT" w:hAnsi="Arial" w:cs="Arial"/>
        </w:rPr>
        <w:t>atinge somente os bens particulares, sendo a meação do cônjuge falecido passível de partilha apenas entre seus descendentes. (</w:t>
      </w:r>
      <w:r w:rsidRPr="0000471A">
        <w:rPr>
          <w:rFonts w:ascii="Arial" w:hAnsi="Arial" w:cs="Arial"/>
        </w:rPr>
        <w:t xml:space="preserve">CAHALI, Francisco José; HIRONAKA, Giselda Maria. </w:t>
      </w:r>
      <w:r w:rsidRPr="0000471A">
        <w:rPr>
          <w:rFonts w:ascii="Arial" w:hAnsi="Arial" w:cs="Arial"/>
          <w:b/>
        </w:rPr>
        <w:t>Direito das Sucessões.</w:t>
      </w:r>
      <w:r w:rsidRPr="0000471A">
        <w:rPr>
          <w:rFonts w:ascii="Arial" w:hAnsi="Arial" w:cs="Arial"/>
        </w:rPr>
        <w:t xml:space="preserve"> 5ª ed. rev. São Paulo: Editora Revista dos Tribunais, 2014, p. 226). </w:t>
      </w:r>
      <w:r w:rsidRPr="0000471A">
        <w:rPr>
          <w:rFonts w:ascii="Arial" w:eastAsia="TimesNewRomanPSMT" w:hAnsi="Arial" w:cs="Arial"/>
        </w:rPr>
        <w:t>Nesse sentido, cumpre rememorar o Enunciado n. 270 do CJF/STJ, da</w:t>
      </w:r>
      <w:r w:rsidRPr="0000471A">
        <w:rPr>
          <w:rFonts w:ascii="Arial" w:eastAsia="TimesNewRomanPSMT" w:hAnsi="Arial" w:cs="Arial"/>
          <w:i/>
          <w:iCs/>
        </w:rPr>
        <w:t xml:space="preserve"> </w:t>
      </w:r>
      <w:r w:rsidRPr="0000471A">
        <w:rPr>
          <w:rFonts w:ascii="Arial" w:eastAsia="TimesNewRomanPSMT" w:hAnsi="Arial" w:cs="Arial"/>
          <w:iCs/>
        </w:rPr>
        <w:t>III Jornada de Direito Civil</w:t>
      </w:r>
      <w:r w:rsidRPr="0000471A">
        <w:rPr>
          <w:rFonts w:ascii="Arial" w:eastAsia="TimesNewRomanPSMT" w:hAnsi="Arial" w:cs="Arial"/>
        </w:rPr>
        <w:t>: “O art. 1.829, inc. I, só assegura ao cônjuge sobrevivente o direito de concorrência com os descendentes do autor da herança quando casados no regime da separação convencional de bens ou, se casados nos regimes da comunhão parcial ou participação final nos aquestos, o falecido possuísse bens particulares, hipóteses em que a concorrência se restringe a tais bens, devendo os bens comuns (meação) ser partilhados exclusivamente entre os descendentes”. (</w:t>
      </w:r>
      <w:r w:rsidRPr="0000471A">
        <w:rPr>
          <w:rFonts w:ascii="Arial" w:hAnsi="Arial" w:cs="Arial"/>
        </w:rPr>
        <w:t xml:space="preserve">TARTUCE, Flávio. </w:t>
      </w:r>
      <w:r w:rsidRPr="0000471A">
        <w:rPr>
          <w:rFonts w:ascii="Arial" w:hAnsi="Arial" w:cs="Arial"/>
          <w:b/>
        </w:rPr>
        <w:t xml:space="preserve">Manual de Direito Civil. </w:t>
      </w:r>
      <w:r w:rsidRPr="0000471A">
        <w:rPr>
          <w:rFonts w:ascii="Arial" w:hAnsi="Arial" w:cs="Arial"/>
        </w:rPr>
        <w:t xml:space="preserve">Volume único, </w:t>
      </w:r>
      <w:r w:rsidRPr="0000471A">
        <w:rPr>
          <w:rFonts w:ascii="Arial" w:eastAsia="ArialMT" w:hAnsi="Arial" w:cs="Arial"/>
        </w:rPr>
        <w:t>8ª. ed. rev, atual. e ampl. – Rio de Janeiro: Forense; São Paulo: Método, 2018, p. 1480). Há outros autores, no entanto, que divergem da referida posição, a exemplo de Francisco Cahali e Maria Helena Diniz, que compreendem que a concorrência sobre a herança com os descendentes deve recair sobre todo o acervo hereditário do falecido (bens particulares e antiga meação). (</w:t>
      </w:r>
      <w:r w:rsidRPr="0000471A">
        <w:rPr>
          <w:rFonts w:ascii="Arial" w:hAnsi="Arial" w:cs="Arial"/>
        </w:rPr>
        <w:t xml:space="preserve">DINIZ, Maria Helena. </w:t>
      </w:r>
      <w:r w:rsidRPr="0000471A">
        <w:rPr>
          <w:rFonts w:ascii="Arial" w:hAnsi="Arial" w:cs="Arial"/>
          <w:b/>
        </w:rPr>
        <w:t>Curso de Direito Civil Brasileiro, 5º vol: Direito de Família</w:t>
      </w:r>
      <w:r w:rsidRPr="0000471A">
        <w:rPr>
          <w:rFonts w:ascii="Arial" w:hAnsi="Arial" w:cs="Arial"/>
        </w:rPr>
        <w:t>. 22 ed. rev. e atual. – São Paulo: Saraiva, 2007, p. 122). Ainda, em posição isolada na doutrina, Maria Berenice Dias defende que o direito de concorrência do cônjuge com os descendentes do falecido se restringe somente à sua antiga meação (BERENICE DIAS, Maria.</w:t>
      </w:r>
      <w:r w:rsidRPr="0000471A">
        <w:rPr>
          <w:rFonts w:ascii="Arial" w:hAnsi="Arial" w:cs="Arial"/>
          <w:b/>
        </w:rPr>
        <w:t xml:space="preserve"> Filhos, bens e amor não combinam! ou A concorrência sucessória</w:t>
      </w:r>
      <w:r w:rsidRPr="0000471A">
        <w:rPr>
          <w:rFonts w:ascii="Arial" w:hAnsi="Arial" w:cs="Arial"/>
        </w:rPr>
        <w:t>. Disponível em &lt;</w:t>
      </w:r>
      <w:hyperlink r:id="rId7" w:history="1">
        <w:r w:rsidRPr="0000471A">
          <w:rPr>
            <w:rStyle w:val="Hyperlink"/>
            <w:rFonts w:ascii="Arial" w:hAnsi="Arial" w:cs="Arial"/>
            <w:color w:val="auto"/>
            <w:u w:val="none"/>
          </w:rPr>
          <w:t>http://mariaberenice.com.br/uploads/3_-_filhos_bens_e_amor_n%E3o_combinam.pdf</w:t>
        </w:r>
      </w:hyperlink>
      <w:r w:rsidRPr="0000471A">
        <w:rPr>
          <w:rFonts w:ascii="Arial" w:hAnsi="Arial" w:cs="Arial"/>
        </w:rPr>
        <w:t>&gt;; Acesso em: 20 de outubro de 2019</w:t>
      </w:r>
      <w:r>
        <w:rPr>
          <w:rFonts w:ascii="Arial" w:hAnsi="Arial" w:cs="Arial"/>
        </w:rPr>
        <w:t>)</w:t>
      </w:r>
      <w:r w:rsidRPr="0000471A">
        <w:rPr>
          <w:rFonts w:ascii="Arial" w:hAnsi="Arial" w:cs="Arial"/>
        </w:rPr>
        <w:t>.</w:t>
      </w:r>
    </w:p>
  </w:footnote>
  <w:footnote w:id="59">
    <w:p w:rsidR="00E563F1" w:rsidRPr="003951AD" w:rsidRDefault="00E563F1" w:rsidP="003951AD">
      <w:pPr>
        <w:autoSpaceDE w:val="0"/>
        <w:autoSpaceDN w:val="0"/>
        <w:adjustRightInd w:val="0"/>
        <w:spacing w:line="240" w:lineRule="auto"/>
        <w:jc w:val="both"/>
        <w:rPr>
          <w:rFonts w:ascii="Arial" w:eastAsia="TimesNewRomanPSMT" w:hAnsi="Arial" w:cs="Arial"/>
          <w:sz w:val="20"/>
          <w:szCs w:val="20"/>
        </w:rPr>
      </w:pPr>
      <w:r w:rsidRPr="003951AD">
        <w:rPr>
          <w:rStyle w:val="Refdenotaderodap"/>
          <w:rFonts w:ascii="Arial" w:hAnsi="Arial" w:cs="Arial"/>
          <w:sz w:val="20"/>
          <w:szCs w:val="20"/>
        </w:rPr>
        <w:footnoteRef/>
      </w:r>
      <w:r w:rsidRPr="003951AD">
        <w:rPr>
          <w:rFonts w:ascii="Arial" w:hAnsi="Arial" w:cs="Arial"/>
          <w:sz w:val="20"/>
          <w:szCs w:val="20"/>
        </w:rPr>
        <w:t xml:space="preserve"> </w:t>
      </w:r>
      <w:r>
        <w:rPr>
          <w:rFonts w:ascii="Arial" w:hAnsi="Arial" w:cs="Arial"/>
          <w:sz w:val="20"/>
          <w:szCs w:val="20"/>
        </w:rPr>
        <w:t xml:space="preserve">Nesse cariz, </w:t>
      </w:r>
      <w:r w:rsidRPr="003951AD">
        <w:rPr>
          <w:rFonts w:ascii="Arial" w:eastAsia="TimesNewRomanPSMT" w:hAnsi="Arial" w:cs="Arial"/>
          <w:sz w:val="20"/>
          <w:szCs w:val="20"/>
        </w:rPr>
        <w:t xml:space="preserve">Zeno Veloso </w:t>
      </w:r>
      <w:r>
        <w:rPr>
          <w:rFonts w:ascii="Arial" w:eastAsia="TimesNewRomanPSMT" w:hAnsi="Arial" w:cs="Arial"/>
          <w:sz w:val="20"/>
          <w:szCs w:val="20"/>
        </w:rPr>
        <w:t>pontua: “</w:t>
      </w:r>
      <w:r w:rsidRPr="003951AD">
        <w:rPr>
          <w:rFonts w:ascii="Arial" w:eastAsia="TimesNewRomanPSMT" w:hAnsi="Arial" w:cs="Arial"/>
          <w:sz w:val="20"/>
          <w:szCs w:val="20"/>
        </w:rPr>
        <w:t>é provável que o morto tenha deixado pelo menos a</w:t>
      </w:r>
      <w:r>
        <w:rPr>
          <w:rFonts w:ascii="Arial" w:eastAsia="TimesNewRomanPSMT" w:hAnsi="Arial" w:cs="Arial"/>
          <w:sz w:val="20"/>
          <w:szCs w:val="20"/>
        </w:rPr>
        <w:t xml:space="preserve"> </w:t>
      </w:r>
      <w:r w:rsidRPr="003951AD">
        <w:rPr>
          <w:rFonts w:ascii="Arial" w:eastAsia="TimesNewRomanPSMT" w:hAnsi="Arial" w:cs="Arial"/>
          <w:sz w:val="20"/>
          <w:szCs w:val="20"/>
        </w:rPr>
        <w:t xml:space="preserve">roupa do </w:t>
      </w:r>
      <w:r>
        <w:rPr>
          <w:rFonts w:ascii="Arial" w:eastAsia="TimesNewRomanPSMT" w:hAnsi="Arial" w:cs="Arial"/>
          <w:sz w:val="20"/>
          <w:szCs w:val="20"/>
        </w:rPr>
        <w:t>cor</w:t>
      </w:r>
      <w:r w:rsidRPr="003951AD">
        <w:rPr>
          <w:rFonts w:ascii="Arial" w:eastAsia="TimesNewRomanPSMT" w:hAnsi="Arial" w:cs="Arial"/>
          <w:sz w:val="20"/>
          <w:szCs w:val="20"/>
        </w:rPr>
        <w:t>po, sendo esta um bem particular. Em suma, fica difícil imaginar a hipótese em que a</w:t>
      </w:r>
      <w:r>
        <w:rPr>
          <w:rFonts w:ascii="Arial" w:eastAsia="TimesNewRomanPSMT" w:hAnsi="Arial" w:cs="Arial"/>
          <w:sz w:val="20"/>
          <w:szCs w:val="20"/>
        </w:rPr>
        <w:t xml:space="preserve"> </w:t>
      </w:r>
      <w:r w:rsidRPr="003951AD">
        <w:rPr>
          <w:rFonts w:ascii="Arial" w:eastAsia="TimesNewRomanPSMT" w:hAnsi="Arial" w:cs="Arial"/>
          <w:sz w:val="20"/>
          <w:szCs w:val="20"/>
        </w:rPr>
        <w:t>pessoa casada pela comunhão parcial não</w:t>
      </w:r>
      <w:r>
        <w:rPr>
          <w:rFonts w:ascii="Arial" w:eastAsia="TimesNewRomanPSMT" w:hAnsi="Arial" w:cs="Arial"/>
          <w:sz w:val="20"/>
          <w:szCs w:val="20"/>
        </w:rPr>
        <w:t xml:space="preserve"> tenha deixado bens particulares</w:t>
      </w:r>
      <w:r w:rsidRPr="007A5A1D">
        <w:rPr>
          <w:rFonts w:ascii="Arial" w:eastAsia="TimesNewRomanPSMT" w:hAnsi="Arial" w:cs="Arial"/>
          <w:sz w:val="20"/>
          <w:szCs w:val="20"/>
        </w:rPr>
        <w:t xml:space="preserve">”. (VELOSO, Zeno. </w:t>
      </w:r>
      <w:r w:rsidRPr="007A5A1D">
        <w:rPr>
          <w:rFonts w:ascii="Arial" w:hAnsi="Arial" w:cs="Arial"/>
          <w:b/>
          <w:iCs/>
          <w:sz w:val="20"/>
          <w:szCs w:val="20"/>
        </w:rPr>
        <w:t>Direito hereditário do cônjuge e do companheiro</w:t>
      </w:r>
      <w:r w:rsidRPr="007A5A1D">
        <w:rPr>
          <w:rFonts w:ascii="Arial" w:eastAsia="TimesNewRomanPSMT" w:hAnsi="Arial" w:cs="Arial"/>
          <w:b/>
          <w:sz w:val="20"/>
          <w:szCs w:val="20"/>
        </w:rPr>
        <w:t>.</w:t>
      </w:r>
      <w:r w:rsidRPr="007A5A1D">
        <w:rPr>
          <w:rFonts w:ascii="Arial" w:eastAsia="TimesNewRomanPSMT" w:hAnsi="Arial" w:cs="Arial"/>
          <w:sz w:val="20"/>
          <w:szCs w:val="20"/>
        </w:rPr>
        <w:t xml:space="preserve"> São Paulo: Saraiva, 2010</w:t>
      </w:r>
      <w:r>
        <w:rPr>
          <w:rFonts w:ascii="Arial" w:eastAsia="TimesNewRomanPSMT" w:hAnsi="Arial" w:cs="Arial"/>
          <w:sz w:val="20"/>
          <w:szCs w:val="20"/>
        </w:rPr>
        <w:t>).</w:t>
      </w:r>
    </w:p>
  </w:footnote>
  <w:footnote w:id="60">
    <w:p w:rsidR="00E563F1" w:rsidRDefault="00E563F1" w:rsidP="004B45F2">
      <w:pPr>
        <w:pStyle w:val="Textodenotaderodap"/>
        <w:jc w:val="both"/>
      </w:pPr>
      <w:r w:rsidRPr="004B45F2">
        <w:rPr>
          <w:rStyle w:val="Refdenotaderodap"/>
          <w:rFonts w:ascii="Arial" w:hAnsi="Arial" w:cs="Arial"/>
        </w:rPr>
        <w:footnoteRef/>
      </w:r>
      <w:r w:rsidRPr="004B45F2">
        <w:rPr>
          <w:rFonts w:ascii="Arial" w:hAnsi="Arial" w:cs="Arial"/>
        </w:rPr>
        <w:t xml:space="preserve"> </w:t>
      </w:r>
      <w:r w:rsidRPr="004723FF">
        <w:rPr>
          <w:rFonts w:ascii="Arial" w:hAnsi="Arial" w:cs="Arial"/>
        </w:rPr>
        <w:t xml:space="preserve">TARTUCE, Flávio. </w:t>
      </w:r>
      <w:r w:rsidRPr="004723FF">
        <w:rPr>
          <w:rFonts w:ascii="Arial" w:hAnsi="Arial" w:cs="Arial"/>
          <w:b/>
        </w:rPr>
        <w:t xml:space="preserve">Manual de Direito Civil. </w:t>
      </w:r>
      <w:r w:rsidRPr="004723FF">
        <w:rPr>
          <w:rFonts w:ascii="Arial" w:hAnsi="Arial" w:cs="Arial"/>
        </w:rPr>
        <w:t xml:space="preserve">Volume único, </w:t>
      </w:r>
      <w:r w:rsidRPr="004723FF">
        <w:rPr>
          <w:rFonts w:ascii="Arial" w:eastAsia="ArialMT" w:hAnsi="Arial" w:cs="Arial"/>
        </w:rPr>
        <w:t>8ª. ed. rev, atual. e ampl. – Rio de Janeiro: Forense; São Paulo: Método, 2018, p. 1</w:t>
      </w:r>
      <w:r>
        <w:rPr>
          <w:rFonts w:ascii="Arial" w:eastAsia="ArialMT" w:hAnsi="Arial" w:cs="Arial"/>
        </w:rPr>
        <w:t>480.</w:t>
      </w:r>
    </w:p>
  </w:footnote>
  <w:footnote w:id="61">
    <w:p w:rsidR="00E563F1" w:rsidRPr="004D0DBD" w:rsidRDefault="00E563F1" w:rsidP="004D0DBD">
      <w:pPr>
        <w:pStyle w:val="Textodenotaderodap"/>
        <w:jc w:val="both"/>
        <w:rPr>
          <w:rFonts w:ascii="Arial" w:hAnsi="Arial" w:cs="Arial"/>
        </w:rPr>
      </w:pPr>
      <w:r w:rsidRPr="004D0DBD">
        <w:rPr>
          <w:rStyle w:val="Refdenotaderodap"/>
          <w:rFonts w:ascii="Arial" w:hAnsi="Arial" w:cs="Arial"/>
        </w:rPr>
        <w:footnoteRef/>
      </w:r>
      <w:r w:rsidRPr="004D0DBD">
        <w:rPr>
          <w:rFonts w:ascii="Arial" w:hAnsi="Arial" w:cs="Arial"/>
        </w:rPr>
        <w:t xml:space="preserve"> Em suma, segundo a doutrina prevalecente, quando o cônjuge ostentar a posição de meeiro, não ocupará, simultaneamente, a posição de herdeiro sobre os bens comuns</w:t>
      </w:r>
      <w:r>
        <w:rPr>
          <w:rFonts w:ascii="Arial" w:hAnsi="Arial" w:cs="Arial"/>
        </w:rPr>
        <w:t xml:space="preserve"> (Ibidem).</w:t>
      </w:r>
    </w:p>
  </w:footnote>
  <w:footnote w:id="62">
    <w:p w:rsidR="00E563F1" w:rsidRPr="00693FC2" w:rsidRDefault="00E563F1" w:rsidP="00693FC2">
      <w:pPr>
        <w:pStyle w:val="Textodenotaderodap"/>
        <w:jc w:val="both"/>
        <w:rPr>
          <w:rFonts w:ascii="Arial" w:hAnsi="Arial" w:cs="Arial"/>
        </w:rPr>
      </w:pPr>
      <w:r w:rsidRPr="00693FC2">
        <w:rPr>
          <w:rStyle w:val="Refdenotaderodap"/>
          <w:rFonts w:ascii="Arial" w:hAnsi="Arial" w:cs="Arial"/>
        </w:rPr>
        <w:footnoteRef/>
      </w:r>
      <w:r w:rsidRPr="00693FC2">
        <w:rPr>
          <w:rFonts w:ascii="Arial" w:hAnsi="Arial" w:cs="Arial"/>
        </w:rPr>
        <w:t xml:space="preserve"> BERENICE DIAS, Maria. </w:t>
      </w:r>
      <w:r w:rsidRPr="003E7163">
        <w:rPr>
          <w:rFonts w:ascii="Arial" w:hAnsi="Arial" w:cs="Arial"/>
          <w:b/>
        </w:rPr>
        <w:t>Manual de direito das famílias</w:t>
      </w:r>
      <w:r w:rsidRPr="00693FC2">
        <w:rPr>
          <w:rFonts w:ascii="Arial" w:hAnsi="Arial" w:cs="Arial"/>
        </w:rPr>
        <w:t>. 4ª ed. São Paulo: Revista dos Tribunais, 2007, p. 227-228.</w:t>
      </w:r>
    </w:p>
  </w:footnote>
  <w:footnote w:id="63">
    <w:p w:rsidR="00E563F1" w:rsidRPr="00971F03" w:rsidRDefault="00E563F1" w:rsidP="00971F03">
      <w:pPr>
        <w:autoSpaceDE w:val="0"/>
        <w:autoSpaceDN w:val="0"/>
        <w:adjustRightInd w:val="0"/>
        <w:spacing w:line="240" w:lineRule="auto"/>
        <w:jc w:val="both"/>
        <w:rPr>
          <w:rFonts w:ascii="Arial" w:hAnsi="Arial" w:cs="Arial"/>
          <w:sz w:val="20"/>
          <w:szCs w:val="20"/>
        </w:rPr>
      </w:pPr>
      <w:r w:rsidRPr="00971F03">
        <w:rPr>
          <w:rStyle w:val="Refdenotaderodap"/>
          <w:rFonts w:ascii="Arial" w:hAnsi="Arial" w:cs="Arial"/>
        </w:rPr>
        <w:footnoteRef/>
      </w:r>
      <w:r w:rsidRPr="00971F03">
        <w:rPr>
          <w:rFonts w:ascii="Arial" w:hAnsi="Arial" w:cs="Arial"/>
        </w:rPr>
        <w:t xml:space="preserve"> </w:t>
      </w:r>
      <w:r w:rsidRPr="00971F03">
        <w:rPr>
          <w:rFonts w:ascii="Arial" w:hAnsi="Arial" w:cs="Arial"/>
          <w:sz w:val="20"/>
          <w:szCs w:val="20"/>
        </w:rPr>
        <w:t>REALE</w:t>
      </w:r>
      <w:r w:rsidRPr="0048271E">
        <w:rPr>
          <w:rFonts w:ascii="Arial" w:hAnsi="Arial" w:cs="Arial"/>
          <w:sz w:val="20"/>
          <w:szCs w:val="20"/>
        </w:rPr>
        <w:t xml:space="preserve">, Miguel. </w:t>
      </w:r>
      <w:r w:rsidRPr="0048271E">
        <w:rPr>
          <w:rFonts w:ascii="Arial" w:hAnsi="Arial" w:cs="Arial"/>
          <w:b/>
          <w:iCs/>
          <w:sz w:val="20"/>
          <w:szCs w:val="20"/>
        </w:rPr>
        <w:t>Estudos Preliminares do Código Civil</w:t>
      </w:r>
      <w:r w:rsidRPr="0048271E">
        <w:rPr>
          <w:rFonts w:ascii="Arial" w:hAnsi="Arial" w:cs="Arial"/>
          <w:sz w:val="20"/>
          <w:szCs w:val="20"/>
        </w:rPr>
        <w:t>. São Paulo: Editora Rev</w:t>
      </w:r>
      <w:r>
        <w:rPr>
          <w:rFonts w:ascii="Arial" w:hAnsi="Arial" w:cs="Arial"/>
          <w:sz w:val="20"/>
          <w:szCs w:val="20"/>
        </w:rPr>
        <w:t>ista dos Tribunais, 2003, p. 61-</w:t>
      </w:r>
      <w:r w:rsidRPr="0048271E">
        <w:rPr>
          <w:rFonts w:ascii="Arial" w:hAnsi="Arial" w:cs="Arial"/>
          <w:sz w:val="20"/>
          <w:szCs w:val="20"/>
        </w:rPr>
        <w:t>64</w:t>
      </w:r>
      <w:r>
        <w:rPr>
          <w:rFonts w:ascii="Arial" w:hAnsi="Arial" w:cs="Arial"/>
          <w:sz w:val="20"/>
          <w:szCs w:val="20"/>
        </w:rPr>
        <w:t>.</w:t>
      </w:r>
    </w:p>
  </w:footnote>
  <w:footnote w:id="64">
    <w:p w:rsidR="00E563F1" w:rsidRPr="002D2436" w:rsidRDefault="00E563F1" w:rsidP="007F1654">
      <w:pPr>
        <w:pStyle w:val="Textodenotaderodap"/>
        <w:jc w:val="both"/>
        <w:rPr>
          <w:rFonts w:ascii="Arial" w:hAnsi="Arial" w:cs="Arial"/>
        </w:rPr>
      </w:pPr>
      <w:r w:rsidRPr="002D2436">
        <w:rPr>
          <w:rStyle w:val="Refdenotaderodap"/>
          <w:rFonts w:ascii="Arial" w:hAnsi="Arial" w:cs="Arial"/>
        </w:rPr>
        <w:footnoteRef/>
      </w:r>
      <w:r w:rsidRPr="002D2436">
        <w:rPr>
          <w:rFonts w:ascii="Arial" w:hAnsi="Arial" w:cs="Arial"/>
        </w:rPr>
        <w:t xml:space="preserve"> Entendimento majoritário adotado, conforme pontuado anteriormente.</w:t>
      </w:r>
    </w:p>
  </w:footnote>
  <w:footnote w:id="65">
    <w:p w:rsidR="00E563F1" w:rsidRPr="00CC0D0D" w:rsidRDefault="00E563F1" w:rsidP="00CC0D0D">
      <w:pPr>
        <w:pStyle w:val="Textodenotaderodap"/>
        <w:jc w:val="both"/>
        <w:rPr>
          <w:rFonts w:ascii="Arial" w:hAnsi="Arial" w:cs="Arial"/>
        </w:rPr>
      </w:pPr>
      <w:r w:rsidRPr="00CC0D0D">
        <w:rPr>
          <w:rStyle w:val="Refdenotaderodap"/>
          <w:rFonts w:ascii="Arial" w:hAnsi="Arial" w:cs="Arial"/>
        </w:rPr>
        <w:footnoteRef/>
      </w:r>
      <w:r w:rsidRPr="00CC0D0D">
        <w:rPr>
          <w:rFonts w:ascii="Arial" w:hAnsi="Arial" w:cs="Arial"/>
        </w:rPr>
        <w:t xml:space="preserve"> “(...) se o mesmo regime de separação de bens decorre de imposição legal, ainda que injustificável a postura do legislador, não existe direito de concorrência. A menos que se vislumbre uma tentativa de punir quem casa com mais de 60 anos, nada autoriza tratamento desigualitário ante situações absolutamente idênticas. Aqui se avizinha também afronta ao princípio da igualdade, que dispõe de proteção constitucional”.</w:t>
      </w:r>
      <w:r>
        <w:rPr>
          <w:rFonts w:ascii="Arial" w:hAnsi="Arial" w:cs="Arial"/>
        </w:rPr>
        <w:t xml:space="preserve"> </w:t>
      </w:r>
      <w:r w:rsidRPr="0000471A">
        <w:rPr>
          <w:rFonts w:ascii="Arial" w:hAnsi="Arial" w:cs="Arial"/>
        </w:rPr>
        <w:t>(BERENICE DIAS, Maria.</w:t>
      </w:r>
      <w:r w:rsidRPr="0000471A">
        <w:rPr>
          <w:rFonts w:ascii="Arial" w:hAnsi="Arial" w:cs="Arial"/>
          <w:b/>
        </w:rPr>
        <w:t xml:space="preserve"> Filhos, bens e amor não combinam! ou A concorrência sucessória</w:t>
      </w:r>
      <w:r w:rsidRPr="0000471A">
        <w:rPr>
          <w:rFonts w:ascii="Arial" w:hAnsi="Arial" w:cs="Arial"/>
        </w:rPr>
        <w:t>. Disponível em &lt;</w:t>
      </w:r>
      <w:hyperlink r:id="rId8" w:history="1">
        <w:r w:rsidRPr="0000471A">
          <w:rPr>
            <w:rStyle w:val="Hyperlink"/>
            <w:rFonts w:ascii="Arial" w:hAnsi="Arial" w:cs="Arial"/>
            <w:color w:val="auto"/>
            <w:u w:val="none"/>
          </w:rPr>
          <w:t>http://mariaberenice.com.br/uploads/3_-_filhos_bens_e_amor_n%E3o_combinam.pdf</w:t>
        </w:r>
      </w:hyperlink>
      <w:r w:rsidRPr="0000471A">
        <w:rPr>
          <w:rFonts w:ascii="Arial" w:hAnsi="Arial" w:cs="Arial"/>
        </w:rPr>
        <w:t>&gt;; Acesso em:</w:t>
      </w:r>
      <w:r>
        <w:rPr>
          <w:rFonts w:ascii="Arial" w:hAnsi="Arial" w:cs="Arial"/>
        </w:rPr>
        <w:t xml:space="preserve"> 26</w:t>
      </w:r>
      <w:r w:rsidRPr="0000471A">
        <w:rPr>
          <w:rFonts w:ascii="Arial" w:hAnsi="Arial" w:cs="Arial"/>
        </w:rPr>
        <w:t xml:space="preserve"> de outubro de 2019</w:t>
      </w:r>
      <w:r>
        <w:rPr>
          <w:rFonts w:ascii="Arial" w:hAnsi="Arial" w:cs="Arial"/>
        </w:rPr>
        <w:t>).</w:t>
      </w:r>
    </w:p>
  </w:footnote>
  <w:footnote w:id="66">
    <w:p w:rsidR="00E563F1" w:rsidRDefault="00E563F1" w:rsidP="004B2CE7">
      <w:pPr>
        <w:pStyle w:val="Textodenotaderodap"/>
        <w:jc w:val="both"/>
      </w:pPr>
      <w:r w:rsidRPr="004B2CE7">
        <w:rPr>
          <w:rStyle w:val="Refdenotaderodap"/>
          <w:rFonts w:ascii="Arial" w:hAnsi="Arial" w:cs="Arial"/>
        </w:rPr>
        <w:footnoteRef/>
      </w:r>
      <w:r w:rsidRPr="004B2CE7">
        <w:rPr>
          <w:rFonts w:ascii="Arial" w:hAnsi="Arial" w:cs="Arial"/>
        </w:rPr>
        <w:t xml:space="preserve"> </w:t>
      </w:r>
      <w:r w:rsidRPr="009D7177">
        <w:rPr>
          <w:rFonts w:ascii="Arial" w:hAnsi="Arial" w:cs="Arial"/>
        </w:rPr>
        <w:t xml:space="preserve">DINIZ, Maria Helena. </w:t>
      </w:r>
      <w:r w:rsidRPr="009D7177">
        <w:rPr>
          <w:rFonts w:ascii="Arial" w:hAnsi="Arial" w:cs="Arial"/>
          <w:b/>
        </w:rPr>
        <w:t>Curso de Direito Civil Brasileiro, 5º vol: Direito de Família</w:t>
      </w:r>
      <w:r w:rsidRPr="009D7177">
        <w:rPr>
          <w:rFonts w:ascii="Arial" w:hAnsi="Arial" w:cs="Arial"/>
        </w:rPr>
        <w:t xml:space="preserve">. 22 ed. rev. e </w:t>
      </w:r>
      <w:r w:rsidRPr="00C77C56">
        <w:rPr>
          <w:rFonts w:ascii="Arial" w:hAnsi="Arial" w:cs="Arial"/>
        </w:rPr>
        <w:t xml:space="preserve">atual. – São </w:t>
      </w:r>
      <w:r>
        <w:rPr>
          <w:rFonts w:ascii="Arial" w:hAnsi="Arial" w:cs="Arial"/>
        </w:rPr>
        <w:t>Paulo: Saraiva, 2007, p. 124.</w:t>
      </w:r>
    </w:p>
  </w:footnote>
  <w:footnote w:id="67">
    <w:p w:rsidR="00E563F1" w:rsidRPr="00971F03" w:rsidRDefault="00E563F1" w:rsidP="00630785">
      <w:pPr>
        <w:autoSpaceDE w:val="0"/>
        <w:autoSpaceDN w:val="0"/>
        <w:adjustRightInd w:val="0"/>
        <w:spacing w:line="240" w:lineRule="auto"/>
        <w:jc w:val="both"/>
        <w:rPr>
          <w:rFonts w:ascii="Arial" w:hAnsi="Arial" w:cs="Arial"/>
          <w:sz w:val="20"/>
          <w:szCs w:val="20"/>
        </w:rPr>
      </w:pPr>
      <w:r w:rsidRPr="00971F03">
        <w:rPr>
          <w:rStyle w:val="Refdenotaderodap"/>
          <w:rFonts w:ascii="Arial" w:hAnsi="Arial" w:cs="Arial"/>
        </w:rPr>
        <w:footnoteRef/>
      </w:r>
      <w:r w:rsidRPr="00971F03">
        <w:rPr>
          <w:rFonts w:ascii="Arial" w:hAnsi="Arial" w:cs="Arial"/>
        </w:rPr>
        <w:t xml:space="preserve"> </w:t>
      </w:r>
      <w:r w:rsidRPr="00971F03">
        <w:rPr>
          <w:rFonts w:ascii="Arial" w:hAnsi="Arial" w:cs="Arial"/>
          <w:sz w:val="20"/>
          <w:szCs w:val="20"/>
        </w:rPr>
        <w:t>REALE</w:t>
      </w:r>
      <w:r w:rsidRPr="0048271E">
        <w:rPr>
          <w:rFonts w:ascii="Arial" w:hAnsi="Arial" w:cs="Arial"/>
          <w:sz w:val="20"/>
          <w:szCs w:val="20"/>
        </w:rPr>
        <w:t xml:space="preserve">, Miguel. </w:t>
      </w:r>
      <w:r w:rsidRPr="0048271E">
        <w:rPr>
          <w:rFonts w:ascii="Arial" w:hAnsi="Arial" w:cs="Arial"/>
          <w:b/>
          <w:iCs/>
          <w:sz w:val="20"/>
          <w:szCs w:val="20"/>
        </w:rPr>
        <w:t>Estudos Preliminares do Código Civil</w:t>
      </w:r>
      <w:r w:rsidRPr="0048271E">
        <w:rPr>
          <w:rFonts w:ascii="Arial" w:hAnsi="Arial" w:cs="Arial"/>
          <w:sz w:val="20"/>
          <w:szCs w:val="20"/>
        </w:rPr>
        <w:t>. São Paulo: Editora Rev</w:t>
      </w:r>
      <w:r>
        <w:rPr>
          <w:rFonts w:ascii="Arial" w:hAnsi="Arial" w:cs="Arial"/>
          <w:sz w:val="20"/>
          <w:szCs w:val="20"/>
        </w:rPr>
        <w:t>ista dos Tribunais, 2003, p. 61-</w:t>
      </w:r>
      <w:r w:rsidRPr="0048271E">
        <w:rPr>
          <w:rFonts w:ascii="Arial" w:hAnsi="Arial" w:cs="Arial"/>
          <w:sz w:val="20"/>
          <w:szCs w:val="20"/>
        </w:rPr>
        <w:t>64</w:t>
      </w:r>
      <w:r>
        <w:rPr>
          <w:rFonts w:ascii="Arial" w:hAnsi="Arial" w:cs="Arial"/>
          <w:sz w:val="20"/>
          <w:szCs w:val="20"/>
        </w:rPr>
        <w:t>.</w:t>
      </w:r>
    </w:p>
  </w:footnote>
  <w:footnote w:id="68">
    <w:p w:rsidR="00E563F1" w:rsidRPr="00042C13" w:rsidRDefault="00E563F1" w:rsidP="00042C13">
      <w:pPr>
        <w:autoSpaceDE w:val="0"/>
        <w:autoSpaceDN w:val="0"/>
        <w:adjustRightInd w:val="0"/>
        <w:spacing w:line="240" w:lineRule="auto"/>
        <w:jc w:val="both"/>
        <w:rPr>
          <w:rFonts w:ascii="Arial" w:hAnsi="Arial" w:cs="Arial"/>
          <w:sz w:val="20"/>
          <w:szCs w:val="20"/>
        </w:rPr>
      </w:pPr>
      <w:r w:rsidRPr="00D02508">
        <w:rPr>
          <w:rStyle w:val="Refdenotaderodap"/>
          <w:rFonts w:ascii="Arial" w:hAnsi="Arial" w:cs="Arial"/>
          <w:sz w:val="20"/>
          <w:szCs w:val="20"/>
        </w:rPr>
        <w:footnoteRef/>
      </w:r>
      <w:r w:rsidRPr="00D02508">
        <w:rPr>
          <w:rFonts w:ascii="Arial" w:hAnsi="Arial" w:cs="Arial"/>
          <w:sz w:val="20"/>
          <w:szCs w:val="20"/>
        </w:rPr>
        <w:t xml:space="preserve"> </w:t>
      </w:r>
      <w:r>
        <w:rPr>
          <w:rFonts w:ascii="Arial" w:hAnsi="Arial" w:cs="Arial"/>
          <w:sz w:val="20"/>
          <w:szCs w:val="20"/>
        </w:rPr>
        <w:t xml:space="preserve">REALE, Miguel; COSTA, Judith Martins. </w:t>
      </w:r>
      <w:r w:rsidRPr="00D02508">
        <w:rPr>
          <w:rFonts w:ascii="Arial" w:hAnsi="Arial" w:cs="Arial"/>
          <w:b/>
          <w:iCs/>
          <w:color w:val="000000"/>
          <w:sz w:val="20"/>
          <w:szCs w:val="20"/>
        </w:rPr>
        <w:t>Casamento sob o regime da separação de bens, voluntariamente escolhido pelos nubentes. Compreensão do fenômeno sucessório e seus critérios hermenêuticos. A força normativa do pacto antenupcial.</w:t>
      </w:r>
      <w:r w:rsidRPr="00042C13">
        <w:rPr>
          <w:rFonts w:ascii="Arial" w:hAnsi="Arial" w:cs="Arial"/>
          <w:iCs/>
          <w:color w:val="000000"/>
          <w:sz w:val="20"/>
          <w:szCs w:val="20"/>
        </w:rPr>
        <w:t xml:space="preserve"> </w:t>
      </w:r>
      <w:r w:rsidRPr="00042C13">
        <w:rPr>
          <w:rFonts w:ascii="Arial" w:hAnsi="Arial" w:cs="Arial"/>
          <w:color w:val="000000"/>
          <w:sz w:val="20"/>
          <w:szCs w:val="20"/>
        </w:rPr>
        <w:t>Revista Trimestral de</w:t>
      </w:r>
      <w:r>
        <w:rPr>
          <w:rFonts w:ascii="Arial" w:hAnsi="Arial" w:cs="Arial"/>
          <w:color w:val="000000"/>
          <w:sz w:val="20"/>
          <w:szCs w:val="20"/>
        </w:rPr>
        <w:t xml:space="preserve"> </w:t>
      </w:r>
      <w:r w:rsidRPr="00042C13">
        <w:rPr>
          <w:rFonts w:ascii="Arial" w:hAnsi="Arial" w:cs="Arial"/>
          <w:color w:val="000000"/>
          <w:sz w:val="20"/>
          <w:szCs w:val="20"/>
        </w:rPr>
        <w:t>Direito Civil, Ano 6, vol. 24, outubro a dezembro d</w:t>
      </w:r>
      <w:r>
        <w:rPr>
          <w:rFonts w:ascii="Arial" w:hAnsi="Arial" w:cs="Arial"/>
          <w:color w:val="000000"/>
          <w:sz w:val="20"/>
          <w:szCs w:val="20"/>
        </w:rPr>
        <w:t>e</w:t>
      </w:r>
      <w:r w:rsidRPr="00042C13">
        <w:rPr>
          <w:rFonts w:ascii="Arial" w:hAnsi="Arial" w:cs="Arial"/>
          <w:color w:val="000000"/>
          <w:sz w:val="20"/>
          <w:szCs w:val="20"/>
        </w:rPr>
        <w:t xml:space="preserve"> 2005. Rio de Janeiro: Ed.</w:t>
      </w:r>
      <w:r>
        <w:rPr>
          <w:rFonts w:ascii="Arial" w:hAnsi="Arial" w:cs="Arial"/>
          <w:color w:val="000000"/>
          <w:sz w:val="20"/>
          <w:szCs w:val="20"/>
        </w:rPr>
        <w:t xml:space="preserve"> </w:t>
      </w:r>
      <w:r w:rsidRPr="00042C13">
        <w:rPr>
          <w:rFonts w:ascii="Arial" w:hAnsi="Arial" w:cs="Arial"/>
          <w:color w:val="000000"/>
          <w:sz w:val="20"/>
          <w:szCs w:val="20"/>
        </w:rPr>
        <w:t>Padma, 2005. p. 226)</w:t>
      </w:r>
      <w:r>
        <w:rPr>
          <w:rFonts w:ascii="Arial" w:hAnsi="Arial" w:cs="Arial"/>
          <w:color w:val="000000"/>
          <w:sz w:val="20"/>
          <w:szCs w:val="20"/>
        </w:rPr>
        <w:t>.</w:t>
      </w:r>
    </w:p>
  </w:footnote>
  <w:footnote w:id="69">
    <w:p w:rsidR="00E563F1" w:rsidRPr="00127068" w:rsidRDefault="00E563F1" w:rsidP="00132F27">
      <w:pPr>
        <w:autoSpaceDE w:val="0"/>
        <w:autoSpaceDN w:val="0"/>
        <w:adjustRightInd w:val="0"/>
        <w:spacing w:line="240" w:lineRule="auto"/>
        <w:jc w:val="both"/>
        <w:rPr>
          <w:rFonts w:ascii="Arial" w:hAnsi="Arial" w:cs="Arial"/>
          <w:sz w:val="20"/>
          <w:szCs w:val="20"/>
        </w:rPr>
      </w:pPr>
      <w:r w:rsidRPr="00127068">
        <w:rPr>
          <w:rStyle w:val="Refdenotaderodap"/>
          <w:rFonts w:ascii="Arial" w:hAnsi="Arial" w:cs="Arial"/>
          <w:sz w:val="20"/>
          <w:szCs w:val="20"/>
        </w:rPr>
        <w:footnoteRef/>
      </w:r>
      <w:r w:rsidRPr="00127068">
        <w:rPr>
          <w:rFonts w:ascii="Arial" w:hAnsi="Arial" w:cs="Arial"/>
          <w:sz w:val="20"/>
          <w:szCs w:val="20"/>
        </w:rPr>
        <w:t xml:space="preserve"> REALE, Miguel. </w:t>
      </w:r>
      <w:r w:rsidRPr="00127068">
        <w:rPr>
          <w:rFonts w:ascii="Arial" w:hAnsi="Arial" w:cs="Arial"/>
          <w:b/>
          <w:iCs/>
          <w:sz w:val="20"/>
          <w:szCs w:val="20"/>
        </w:rPr>
        <w:t>Estudos Preliminares do Código Civil</w:t>
      </w:r>
      <w:r w:rsidRPr="00127068">
        <w:rPr>
          <w:rFonts w:ascii="Arial" w:hAnsi="Arial" w:cs="Arial"/>
          <w:sz w:val="20"/>
          <w:szCs w:val="20"/>
        </w:rPr>
        <w:t>. São Paulo: Editora Revista dos Tribunais, 2003, p. 65.</w:t>
      </w:r>
    </w:p>
  </w:footnote>
  <w:footnote w:id="70">
    <w:p w:rsidR="00E563F1" w:rsidRPr="00127068" w:rsidRDefault="00E563F1" w:rsidP="005A218B">
      <w:pPr>
        <w:autoSpaceDE w:val="0"/>
        <w:autoSpaceDN w:val="0"/>
        <w:adjustRightInd w:val="0"/>
        <w:spacing w:line="240" w:lineRule="auto"/>
        <w:jc w:val="both"/>
        <w:rPr>
          <w:rFonts w:ascii="Arial" w:hAnsi="Arial" w:cs="Arial"/>
          <w:iCs/>
          <w:sz w:val="20"/>
          <w:szCs w:val="20"/>
        </w:rPr>
      </w:pPr>
      <w:r w:rsidRPr="00127068">
        <w:rPr>
          <w:rStyle w:val="Refdenotaderodap"/>
          <w:rFonts w:ascii="Arial" w:hAnsi="Arial" w:cs="Arial"/>
          <w:sz w:val="20"/>
          <w:szCs w:val="20"/>
        </w:rPr>
        <w:footnoteRef/>
      </w:r>
      <w:r w:rsidRPr="00127068">
        <w:rPr>
          <w:rFonts w:ascii="Arial" w:hAnsi="Arial" w:cs="Arial"/>
          <w:sz w:val="20"/>
          <w:szCs w:val="20"/>
        </w:rPr>
        <w:t xml:space="preserve"> </w:t>
      </w:r>
      <w:r w:rsidRPr="00127068">
        <w:rPr>
          <w:rFonts w:ascii="Arial" w:hAnsi="Arial" w:cs="Arial"/>
          <w:iCs/>
          <w:sz w:val="20"/>
          <w:szCs w:val="20"/>
        </w:rPr>
        <w:t xml:space="preserve">LEITE, Eduardo de Oliveira. </w:t>
      </w:r>
      <w:r w:rsidRPr="00127068">
        <w:rPr>
          <w:rFonts w:ascii="Arial" w:hAnsi="Arial" w:cs="Arial"/>
          <w:b/>
          <w:iCs/>
          <w:sz w:val="20"/>
          <w:szCs w:val="20"/>
        </w:rPr>
        <w:t>Comentários ao Novo Código Civil</w:t>
      </w:r>
      <w:r w:rsidRPr="00127068">
        <w:rPr>
          <w:rFonts w:ascii="Arial" w:hAnsi="Arial" w:cs="Arial"/>
          <w:iCs/>
          <w:sz w:val="20"/>
          <w:szCs w:val="20"/>
        </w:rPr>
        <w:t xml:space="preserve">. Vol. XXI, </w:t>
      </w:r>
      <w:r w:rsidRPr="00127068">
        <w:rPr>
          <w:rFonts w:ascii="Arial" w:hAnsi="Arial" w:cs="Arial"/>
          <w:iCs/>
          <w:color w:val="000000"/>
          <w:sz w:val="20"/>
          <w:szCs w:val="20"/>
        </w:rPr>
        <w:t>5ª ed</w:t>
      </w:r>
      <w:r w:rsidRPr="00127068">
        <w:rPr>
          <w:rFonts w:ascii="Arial" w:hAnsi="Arial" w:cs="Arial"/>
          <w:iCs/>
          <w:sz w:val="20"/>
          <w:szCs w:val="20"/>
        </w:rPr>
        <w:t>. Rio de Janeiro: Ed. Forense, 2009, p. 276.</w:t>
      </w:r>
    </w:p>
  </w:footnote>
  <w:footnote w:id="71">
    <w:p w:rsidR="00E563F1" w:rsidRPr="00127068" w:rsidRDefault="00E563F1" w:rsidP="005A218B">
      <w:pPr>
        <w:tabs>
          <w:tab w:val="right" w:pos="9072"/>
        </w:tabs>
        <w:autoSpaceDE w:val="0"/>
        <w:autoSpaceDN w:val="0"/>
        <w:adjustRightInd w:val="0"/>
        <w:spacing w:line="240" w:lineRule="auto"/>
        <w:jc w:val="both"/>
        <w:rPr>
          <w:rFonts w:ascii="Arial" w:hAnsi="Arial" w:cs="Arial"/>
          <w:iCs/>
          <w:color w:val="000000"/>
          <w:sz w:val="20"/>
          <w:szCs w:val="20"/>
        </w:rPr>
      </w:pPr>
      <w:r w:rsidRPr="00127068">
        <w:rPr>
          <w:rStyle w:val="Refdenotaderodap"/>
          <w:rFonts w:ascii="Arial" w:hAnsi="Arial" w:cs="Arial"/>
          <w:sz w:val="20"/>
          <w:szCs w:val="20"/>
        </w:rPr>
        <w:footnoteRef/>
      </w:r>
      <w:r w:rsidRPr="00127068">
        <w:rPr>
          <w:rFonts w:ascii="Arial" w:hAnsi="Arial" w:cs="Arial"/>
          <w:sz w:val="20"/>
          <w:szCs w:val="20"/>
        </w:rPr>
        <w:t xml:space="preserve"> </w:t>
      </w:r>
      <w:r w:rsidRPr="00127068">
        <w:rPr>
          <w:rFonts w:ascii="Arial" w:hAnsi="Arial" w:cs="Arial"/>
          <w:iCs/>
          <w:color w:val="000000"/>
          <w:sz w:val="20"/>
          <w:szCs w:val="20"/>
        </w:rPr>
        <w:t>TEIXEIRA, Sálvio de Figueiredo.</w:t>
      </w:r>
      <w:r w:rsidRPr="00127068">
        <w:rPr>
          <w:rFonts w:ascii="Arial" w:hAnsi="Arial" w:cs="Arial"/>
          <w:b/>
          <w:iCs/>
          <w:color w:val="000000"/>
          <w:sz w:val="20"/>
          <w:szCs w:val="20"/>
        </w:rPr>
        <w:t xml:space="preserve"> Comentários ao Novo Código Civil.</w:t>
      </w:r>
      <w:r w:rsidRPr="00127068">
        <w:rPr>
          <w:rFonts w:ascii="Arial" w:hAnsi="Arial" w:cs="Arial"/>
          <w:iCs/>
          <w:color w:val="000000"/>
          <w:sz w:val="20"/>
          <w:szCs w:val="20"/>
        </w:rPr>
        <w:t xml:space="preserve"> Vol. XXI, 5ª ed. São Paulo: Ed. Forense, 2009, p. 277/278.</w:t>
      </w:r>
    </w:p>
  </w:footnote>
  <w:footnote w:id="72">
    <w:p w:rsidR="00E563F1" w:rsidRPr="002F280B" w:rsidRDefault="00E563F1" w:rsidP="00040C52">
      <w:pPr>
        <w:pStyle w:val="Textodenotaderodap"/>
        <w:jc w:val="both"/>
      </w:pPr>
      <w:r w:rsidRPr="002F280B">
        <w:rPr>
          <w:rStyle w:val="Refdenotaderodap"/>
          <w:rFonts w:ascii="Arial" w:hAnsi="Arial" w:cs="Arial"/>
        </w:rPr>
        <w:footnoteRef/>
      </w:r>
      <w:r w:rsidRPr="002F280B">
        <w:rPr>
          <w:rFonts w:ascii="Arial" w:hAnsi="Arial" w:cs="Arial"/>
        </w:rPr>
        <w:t xml:space="preserve"> Ibidem.</w:t>
      </w:r>
    </w:p>
  </w:footnote>
  <w:footnote w:id="73">
    <w:p w:rsidR="00E563F1" w:rsidRDefault="00E563F1" w:rsidP="002F280B">
      <w:pPr>
        <w:autoSpaceDE w:val="0"/>
        <w:autoSpaceDN w:val="0"/>
        <w:adjustRightInd w:val="0"/>
        <w:spacing w:line="240" w:lineRule="auto"/>
        <w:jc w:val="both"/>
      </w:pPr>
      <w:r w:rsidRPr="002F280B">
        <w:rPr>
          <w:rStyle w:val="Refdenotaderodap"/>
          <w:rFonts w:ascii="Arial" w:hAnsi="Arial" w:cs="Arial"/>
          <w:sz w:val="20"/>
          <w:szCs w:val="20"/>
        </w:rPr>
        <w:footnoteRef/>
      </w:r>
      <w:r w:rsidRPr="002F280B">
        <w:rPr>
          <w:rFonts w:ascii="Arial" w:hAnsi="Arial" w:cs="Arial"/>
          <w:sz w:val="20"/>
          <w:szCs w:val="20"/>
        </w:rPr>
        <w:t xml:space="preserve"> BRASIL, Superior Tribunal de Justiça. REsp nº 1.111.096/RJ, Rel. Ministro CARLOS FERNANDO MATHIAS, Rel. p. acórdão Ministro FERNANDO GONÇALVES, Quarta Turma. Brasília, 01 </w:t>
      </w:r>
      <w:r>
        <w:rPr>
          <w:rFonts w:ascii="Arial" w:hAnsi="Arial" w:cs="Arial"/>
          <w:sz w:val="20"/>
          <w:szCs w:val="20"/>
        </w:rPr>
        <w:t>nov</w:t>
      </w:r>
      <w:r w:rsidRPr="002F280B">
        <w:rPr>
          <w:rFonts w:ascii="Arial" w:hAnsi="Arial" w:cs="Arial"/>
          <w:sz w:val="20"/>
          <w:szCs w:val="20"/>
        </w:rPr>
        <w:t xml:space="preserve">. 2009. </w:t>
      </w:r>
      <w:r w:rsidRPr="002F280B">
        <w:rPr>
          <w:rFonts w:ascii="Arial" w:hAnsi="Arial" w:cs="Arial"/>
          <w:b/>
          <w:bCs/>
          <w:sz w:val="20"/>
          <w:szCs w:val="20"/>
        </w:rPr>
        <w:t>Diário da Justiça Eletrônico do Superior Tribunal de Justiça</w:t>
      </w:r>
      <w:r w:rsidRPr="002F280B">
        <w:rPr>
          <w:rFonts w:ascii="Arial" w:hAnsi="Arial" w:cs="Arial"/>
          <w:sz w:val="20"/>
          <w:szCs w:val="20"/>
        </w:rPr>
        <w:t>: 11 dez. 2010.</w:t>
      </w:r>
      <w:r w:rsidRPr="002F280B">
        <w:rPr>
          <w:rFonts w:ascii="Arial" w:hAnsi="Arial" w:cs="Arial"/>
        </w:rPr>
        <w:t xml:space="preserve">  </w:t>
      </w:r>
    </w:p>
  </w:footnote>
  <w:footnote w:id="74">
    <w:p w:rsidR="00E563F1" w:rsidRPr="00225F77" w:rsidRDefault="00E563F1" w:rsidP="00225F77">
      <w:pPr>
        <w:pStyle w:val="Textodenotaderodap"/>
        <w:jc w:val="both"/>
        <w:rPr>
          <w:rFonts w:ascii="Arial" w:hAnsi="Arial" w:cs="Arial"/>
        </w:rPr>
      </w:pPr>
      <w:r w:rsidRPr="00225F77">
        <w:rPr>
          <w:rStyle w:val="Refdenotaderodap"/>
          <w:rFonts w:ascii="Arial" w:hAnsi="Arial" w:cs="Arial"/>
        </w:rPr>
        <w:footnoteRef/>
      </w:r>
      <w:r w:rsidRPr="00225F77">
        <w:rPr>
          <w:rFonts w:ascii="Arial" w:hAnsi="Arial" w:cs="Arial"/>
        </w:rPr>
        <w:t xml:space="preserve"> Ibidem.</w:t>
      </w:r>
    </w:p>
  </w:footnote>
  <w:footnote w:id="75">
    <w:p w:rsidR="00E563F1" w:rsidRPr="004D0235" w:rsidRDefault="00E563F1" w:rsidP="004D0235">
      <w:pPr>
        <w:pStyle w:val="Textodenotaderodap"/>
        <w:jc w:val="both"/>
        <w:rPr>
          <w:rFonts w:ascii="Arial" w:hAnsi="Arial" w:cs="Arial"/>
        </w:rPr>
      </w:pPr>
      <w:r w:rsidRPr="004D0235">
        <w:rPr>
          <w:rStyle w:val="Refdenotaderodap"/>
          <w:rFonts w:ascii="Arial" w:hAnsi="Arial" w:cs="Arial"/>
        </w:rPr>
        <w:footnoteRef/>
      </w:r>
      <w:r w:rsidRPr="004D0235">
        <w:rPr>
          <w:rFonts w:ascii="Arial" w:hAnsi="Arial" w:cs="Arial"/>
        </w:rPr>
        <w:t xml:space="preserve"> O usufruto vitalício se trata de uma doação com reserva de usufruto, realizada em cartório, pela qual o proprietário de um bem pode transmiti-lo a outrem, reservando o seu direito de usá-lo e administrá-lo.</w:t>
      </w:r>
    </w:p>
  </w:footnote>
  <w:footnote w:id="76">
    <w:p w:rsidR="00E563F1" w:rsidRDefault="00E563F1" w:rsidP="00773C89">
      <w:pPr>
        <w:pStyle w:val="Textodenotaderodap"/>
        <w:jc w:val="both"/>
      </w:pPr>
      <w:r w:rsidRPr="00773C89">
        <w:rPr>
          <w:rStyle w:val="Refdenotaderodap"/>
          <w:rFonts w:ascii="Arial" w:hAnsi="Arial" w:cs="Arial"/>
        </w:rPr>
        <w:footnoteRef/>
      </w:r>
      <w:r w:rsidRPr="00773C89">
        <w:rPr>
          <w:rFonts w:ascii="Arial" w:hAnsi="Arial" w:cs="Arial"/>
        </w:rPr>
        <w:t xml:space="preserve"> BERENICE DIAS, Maria.</w:t>
      </w:r>
      <w:r w:rsidRPr="00773C89">
        <w:rPr>
          <w:rFonts w:ascii="Arial" w:hAnsi="Arial" w:cs="Arial"/>
          <w:b/>
        </w:rPr>
        <w:t xml:space="preserve"> Filhos, bens e amor não combinam! ou A concorrência sucessória</w:t>
      </w:r>
      <w:r w:rsidRPr="00773C89">
        <w:rPr>
          <w:rFonts w:ascii="Arial" w:hAnsi="Arial" w:cs="Arial"/>
        </w:rPr>
        <w:t>. Disponível em</w:t>
      </w:r>
      <w:r w:rsidRPr="0000471A">
        <w:rPr>
          <w:rFonts w:ascii="Arial" w:hAnsi="Arial" w:cs="Arial"/>
        </w:rPr>
        <w:t xml:space="preserve"> &lt;</w:t>
      </w:r>
      <w:hyperlink r:id="rId9" w:history="1">
        <w:r w:rsidRPr="0000471A">
          <w:rPr>
            <w:rStyle w:val="Hyperlink"/>
            <w:rFonts w:ascii="Arial" w:hAnsi="Arial" w:cs="Arial"/>
            <w:color w:val="auto"/>
            <w:u w:val="none"/>
          </w:rPr>
          <w:t>http://mariaberenice.com.br/uploads/3_-_filhos_bens_e_amor_n%E3o_combinam.pdf</w:t>
        </w:r>
      </w:hyperlink>
      <w:r w:rsidRPr="0000471A">
        <w:rPr>
          <w:rFonts w:ascii="Arial" w:hAnsi="Arial" w:cs="Arial"/>
        </w:rPr>
        <w:t xml:space="preserve">&gt;; Acesso em: </w:t>
      </w:r>
      <w:r>
        <w:rPr>
          <w:rFonts w:ascii="Arial" w:hAnsi="Arial" w:cs="Arial"/>
        </w:rPr>
        <w:t>20 out.</w:t>
      </w:r>
      <w:r w:rsidRPr="0000471A">
        <w:rPr>
          <w:rFonts w:ascii="Arial" w:hAnsi="Arial" w:cs="Arial"/>
        </w:rPr>
        <w:t xml:space="preserve"> 2019</w:t>
      </w:r>
      <w:r>
        <w:rPr>
          <w:rFonts w:ascii="Arial" w:hAnsi="Arial" w:cs="Arial"/>
        </w:rPr>
        <w:t>.</w:t>
      </w:r>
    </w:p>
  </w:footnote>
  <w:footnote w:id="77">
    <w:p w:rsidR="00E563F1" w:rsidRPr="00773C89" w:rsidRDefault="00E563F1" w:rsidP="00773C89">
      <w:pPr>
        <w:tabs>
          <w:tab w:val="left" w:pos="4830"/>
        </w:tabs>
        <w:spacing w:line="240" w:lineRule="auto"/>
        <w:jc w:val="both"/>
        <w:rPr>
          <w:rFonts w:ascii="Arial" w:hAnsi="Arial" w:cs="Arial"/>
          <w:sz w:val="20"/>
          <w:szCs w:val="20"/>
        </w:rPr>
      </w:pPr>
      <w:r w:rsidRPr="00773C89">
        <w:rPr>
          <w:rStyle w:val="Refdenotaderodap"/>
          <w:rFonts w:ascii="Arial" w:hAnsi="Arial" w:cs="Arial"/>
          <w:sz w:val="20"/>
          <w:szCs w:val="20"/>
        </w:rPr>
        <w:footnoteRef/>
      </w:r>
      <w:r w:rsidRPr="00773C89">
        <w:rPr>
          <w:rFonts w:ascii="Arial" w:hAnsi="Arial" w:cs="Arial"/>
          <w:sz w:val="20"/>
          <w:szCs w:val="20"/>
        </w:rPr>
        <w:t xml:space="preserve"> </w:t>
      </w:r>
      <w:r>
        <w:rPr>
          <w:rFonts w:ascii="Arial" w:hAnsi="Arial" w:cs="Arial"/>
          <w:sz w:val="20"/>
          <w:szCs w:val="20"/>
        </w:rPr>
        <w:t>“</w:t>
      </w:r>
      <w:r w:rsidRPr="00773C89">
        <w:rPr>
          <w:rFonts w:ascii="Arial" w:hAnsi="Arial" w:cs="Arial"/>
          <w:sz w:val="20"/>
          <w:szCs w:val="20"/>
        </w:rPr>
        <w:t>A única conclusão a que se pode chegar é que está cerceada a vontade de quem quer casar, mas quer preservar seu patrimônio pessoal em favor de seus filhos. Pelo jeito, quem possui filhos e bens não pode casar! Conclusão: o novo Código Civil, que se dedicou com tanto empenho a regular o casamento (dedicoulhe 202 artigos), impõe o celibato a quem possui filhos e patrimônio, ainda que seja somente uma bicicleta</w:t>
      </w:r>
      <w:r>
        <w:rPr>
          <w:rFonts w:ascii="Arial" w:hAnsi="Arial" w:cs="Arial"/>
          <w:sz w:val="20"/>
          <w:szCs w:val="20"/>
        </w:rPr>
        <w:t>”</w:t>
      </w:r>
      <w:r w:rsidRPr="00773C89">
        <w:rPr>
          <w:rFonts w:ascii="Arial" w:hAnsi="Arial" w:cs="Arial"/>
          <w:sz w:val="20"/>
          <w:szCs w:val="20"/>
        </w:rPr>
        <w:t>.</w:t>
      </w:r>
      <w:r>
        <w:rPr>
          <w:rFonts w:ascii="Arial" w:hAnsi="Arial" w:cs="Arial"/>
          <w:sz w:val="20"/>
          <w:szCs w:val="20"/>
        </w:rPr>
        <w:t xml:space="preserve"> Ibidem.</w:t>
      </w:r>
    </w:p>
  </w:footnote>
  <w:footnote w:id="78">
    <w:p w:rsidR="00E563F1" w:rsidRPr="002F4604" w:rsidRDefault="00E563F1" w:rsidP="00E16231">
      <w:pPr>
        <w:pStyle w:val="Textodenotaderodap"/>
        <w:jc w:val="both"/>
        <w:rPr>
          <w:rFonts w:ascii="Arial" w:hAnsi="Arial" w:cs="Arial"/>
        </w:rPr>
      </w:pPr>
      <w:r w:rsidRPr="002F4604">
        <w:rPr>
          <w:rStyle w:val="Refdenotaderodap"/>
          <w:rFonts w:ascii="Arial" w:hAnsi="Arial" w:cs="Arial"/>
        </w:rPr>
        <w:footnoteRef/>
      </w:r>
      <w:r w:rsidRPr="002F4604">
        <w:rPr>
          <w:rFonts w:ascii="Arial" w:hAnsi="Arial" w:cs="Arial"/>
        </w:rPr>
        <w:t xml:space="preserve"> BRASIL, Superior Tribunal de Justiça. Recurso Especial nº 99</w:t>
      </w:r>
      <w:r>
        <w:rPr>
          <w:rFonts w:ascii="Arial" w:hAnsi="Arial" w:cs="Arial"/>
        </w:rPr>
        <w:t>2</w:t>
      </w:r>
      <w:r w:rsidRPr="002F4604">
        <w:rPr>
          <w:rFonts w:ascii="Arial" w:hAnsi="Arial" w:cs="Arial"/>
        </w:rPr>
        <w:t xml:space="preserve">.749/MS, Gustavo Alves de Souza e outros x Paula Rosa de Souza. Rel: Min. Nancy Andrighi, Brasília, </w:t>
      </w:r>
      <w:r>
        <w:rPr>
          <w:rFonts w:ascii="Arial" w:hAnsi="Arial" w:cs="Arial"/>
        </w:rPr>
        <w:t>01 dez. 2009</w:t>
      </w:r>
      <w:r w:rsidRPr="002F4604">
        <w:rPr>
          <w:rFonts w:ascii="Arial" w:hAnsi="Arial" w:cs="Arial"/>
        </w:rPr>
        <w:t xml:space="preserve">. </w:t>
      </w:r>
      <w:r w:rsidRPr="002F4604">
        <w:rPr>
          <w:rFonts w:ascii="Arial" w:hAnsi="Arial" w:cs="Arial"/>
          <w:b/>
          <w:bCs/>
        </w:rPr>
        <w:t>Diário da Justiça Eletrônico do Superior Tribunal de Justiça</w:t>
      </w:r>
      <w:r w:rsidRPr="002F4604">
        <w:rPr>
          <w:rFonts w:ascii="Arial" w:hAnsi="Arial" w:cs="Arial"/>
        </w:rPr>
        <w:t xml:space="preserve">: </w:t>
      </w:r>
      <w:r>
        <w:rPr>
          <w:rFonts w:ascii="Arial" w:hAnsi="Arial" w:cs="Arial"/>
        </w:rPr>
        <w:t>05 fev. 2010</w:t>
      </w:r>
      <w:r w:rsidRPr="002F4604">
        <w:rPr>
          <w:rFonts w:ascii="Arial" w:hAnsi="Arial" w:cs="Arial"/>
        </w:rPr>
        <w:t xml:space="preserve">.  </w:t>
      </w:r>
    </w:p>
  </w:footnote>
  <w:footnote w:id="79">
    <w:p w:rsidR="00E563F1" w:rsidRPr="00B26030" w:rsidRDefault="00E563F1" w:rsidP="00E16231">
      <w:pPr>
        <w:autoSpaceDE w:val="0"/>
        <w:autoSpaceDN w:val="0"/>
        <w:adjustRightInd w:val="0"/>
        <w:spacing w:line="240" w:lineRule="auto"/>
        <w:jc w:val="left"/>
        <w:rPr>
          <w:rFonts w:ascii="Arial" w:hAnsi="Arial" w:cs="Arial"/>
          <w:sz w:val="20"/>
          <w:szCs w:val="20"/>
        </w:rPr>
      </w:pPr>
      <w:r w:rsidRPr="00904C03">
        <w:rPr>
          <w:rStyle w:val="Refdenotaderodap"/>
          <w:rFonts w:ascii="Arial" w:hAnsi="Arial" w:cs="Arial"/>
          <w:sz w:val="20"/>
          <w:szCs w:val="20"/>
        </w:rPr>
        <w:footnoteRef/>
      </w:r>
      <w:r w:rsidRPr="00904C03">
        <w:rPr>
          <w:rFonts w:ascii="Arial" w:hAnsi="Arial" w:cs="Arial"/>
          <w:sz w:val="20"/>
          <w:szCs w:val="20"/>
        </w:rPr>
        <w:t xml:space="preserve"> “</w:t>
      </w:r>
      <w:r w:rsidRPr="00904C03">
        <w:rPr>
          <w:rFonts w:ascii="Arial" w:hAnsi="Arial" w:cs="Arial"/>
          <w:i/>
          <w:iCs/>
          <w:sz w:val="20"/>
          <w:szCs w:val="20"/>
        </w:rPr>
        <w:t>(i)</w:t>
      </w:r>
      <w:r w:rsidRPr="00B26030">
        <w:rPr>
          <w:rFonts w:ascii="Arial" w:hAnsi="Arial" w:cs="Arial"/>
          <w:i/>
          <w:iCs/>
          <w:sz w:val="20"/>
          <w:szCs w:val="20"/>
        </w:rPr>
        <w:t xml:space="preserve"> </w:t>
      </w:r>
      <w:r w:rsidRPr="00B26030">
        <w:rPr>
          <w:rFonts w:ascii="Arial" w:hAnsi="Arial" w:cs="Arial"/>
          <w:sz w:val="20"/>
          <w:szCs w:val="20"/>
        </w:rPr>
        <w:t>não houve longa</w:t>
      </w:r>
      <w:r>
        <w:rPr>
          <w:rFonts w:ascii="Arial" w:hAnsi="Arial" w:cs="Arial"/>
          <w:sz w:val="20"/>
          <w:szCs w:val="20"/>
        </w:rPr>
        <w:t xml:space="preserve"> </w:t>
      </w:r>
      <w:r w:rsidRPr="00B26030">
        <w:rPr>
          <w:rFonts w:ascii="Arial" w:hAnsi="Arial" w:cs="Arial"/>
          <w:sz w:val="20"/>
          <w:szCs w:val="20"/>
        </w:rPr>
        <w:t>convivência, mas um casamento que durou meses, mais especificamente, 10</w:t>
      </w:r>
    </w:p>
    <w:p w:rsidR="00E563F1" w:rsidRPr="00B26030" w:rsidRDefault="00E563F1" w:rsidP="00E16231">
      <w:pPr>
        <w:autoSpaceDE w:val="0"/>
        <w:autoSpaceDN w:val="0"/>
        <w:adjustRightInd w:val="0"/>
        <w:spacing w:line="240" w:lineRule="auto"/>
        <w:jc w:val="both"/>
        <w:rPr>
          <w:rFonts w:ascii="Arial" w:hAnsi="Arial" w:cs="Arial"/>
          <w:sz w:val="20"/>
          <w:szCs w:val="20"/>
        </w:rPr>
      </w:pPr>
      <w:r w:rsidRPr="00B26030">
        <w:rPr>
          <w:rFonts w:ascii="Arial" w:hAnsi="Arial" w:cs="Arial"/>
          <w:sz w:val="20"/>
          <w:szCs w:val="20"/>
        </w:rPr>
        <w:t xml:space="preserve">meses; </w:t>
      </w:r>
      <w:r w:rsidRPr="00B26030">
        <w:rPr>
          <w:rFonts w:ascii="Arial" w:hAnsi="Arial" w:cs="Arial"/>
          <w:i/>
          <w:iCs/>
          <w:sz w:val="20"/>
          <w:szCs w:val="20"/>
        </w:rPr>
        <w:t xml:space="preserve">(ii) </w:t>
      </w:r>
      <w:r w:rsidRPr="00B26030">
        <w:rPr>
          <w:rFonts w:ascii="Arial" w:hAnsi="Arial" w:cs="Arial"/>
          <w:sz w:val="20"/>
          <w:szCs w:val="20"/>
        </w:rPr>
        <w:t>quando desse segundo casamento, o autor da herança já havia</w:t>
      </w:r>
      <w:r>
        <w:rPr>
          <w:rFonts w:ascii="Arial" w:hAnsi="Arial" w:cs="Arial"/>
          <w:sz w:val="20"/>
          <w:szCs w:val="20"/>
        </w:rPr>
        <w:t xml:space="preserve"> </w:t>
      </w:r>
      <w:r w:rsidRPr="00B26030">
        <w:rPr>
          <w:rFonts w:ascii="Arial" w:hAnsi="Arial" w:cs="Arial"/>
          <w:sz w:val="20"/>
          <w:szCs w:val="20"/>
        </w:rPr>
        <w:t xml:space="preserve">formado todo seu patrimônio e padecia de doença incapacitante; </w:t>
      </w:r>
      <w:r w:rsidRPr="00B26030">
        <w:rPr>
          <w:rFonts w:ascii="Arial" w:hAnsi="Arial" w:cs="Arial"/>
          <w:i/>
          <w:iCs/>
          <w:sz w:val="20"/>
          <w:szCs w:val="20"/>
        </w:rPr>
        <w:t xml:space="preserve">(iii) </w:t>
      </w:r>
      <w:r w:rsidRPr="00B26030">
        <w:rPr>
          <w:rFonts w:ascii="Arial" w:hAnsi="Arial" w:cs="Arial"/>
          <w:sz w:val="20"/>
          <w:szCs w:val="20"/>
        </w:rPr>
        <w:t>os nubentes</w:t>
      </w:r>
      <w:r>
        <w:rPr>
          <w:rFonts w:ascii="Arial" w:hAnsi="Arial" w:cs="Arial"/>
          <w:sz w:val="20"/>
          <w:szCs w:val="20"/>
        </w:rPr>
        <w:t xml:space="preserve"> </w:t>
      </w:r>
      <w:r w:rsidRPr="00B26030">
        <w:rPr>
          <w:rFonts w:ascii="Arial" w:hAnsi="Arial" w:cs="Arial"/>
          <w:sz w:val="20"/>
          <w:szCs w:val="20"/>
        </w:rPr>
        <w:t>escolheram, voluntariamente, casar pelo regime da separação convencional,</w:t>
      </w:r>
      <w:r>
        <w:rPr>
          <w:rFonts w:ascii="Arial" w:hAnsi="Arial" w:cs="Arial"/>
          <w:sz w:val="20"/>
          <w:szCs w:val="20"/>
        </w:rPr>
        <w:t xml:space="preserve"> </w:t>
      </w:r>
      <w:r w:rsidRPr="00B26030">
        <w:rPr>
          <w:rFonts w:ascii="Arial" w:hAnsi="Arial" w:cs="Arial"/>
          <w:sz w:val="20"/>
          <w:szCs w:val="20"/>
        </w:rPr>
        <w:t>optando, por meio de pacto antenupcial lavrado em escritura pública, pela</w:t>
      </w:r>
    </w:p>
    <w:p w:rsidR="00E563F1" w:rsidRDefault="00E563F1" w:rsidP="00E16231">
      <w:pPr>
        <w:autoSpaceDE w:val="0"/>
        <w:autoSpaceDN w:val="0"/>
        <w:adjustRightInd w:val="0"/>
        <w:spacing w:line="240" w:lineRule="auto"/>
        <w:jc w:val="both"/>
      </w:pPr>
      <w:r w:rsidRPr="00B26030">
        <w:rPr>
          <w:rFonts w:ascii="Arial" w:hAnsi="Arial" w:cs="Arial"/>
          <w:sz w:val="20"/>
          <w:szCs w:val="20"/>
        </w:rPr>
        <w:t>incomunicabilidade de todos os bens adquiridos antes e depois do casamento,</w:t>
      </w:r>
      <w:r>
        <w:rPr>
          <w:rFonts w:ascii="Arial" w:hAnsi="Arial" w:cs="Arial"/>
          <w:sz w:val="20"/>
          <w:szCs w:val="20"/>
        </w:rPr>
        <w:t xml:space="preserve"> </w:t>
      </w:r>
      <w:r w:rsidRPr="00B26030">
        <w:rPr>
          <w:rFonts w:ascii="Arial" w:hAnsi="Arial" w:cs="Arial"/>
          <w:sz w:val="20"/>
          <w:szCs w:val="20"/>
        </w:rPr>
        <w:t>inclusive frutos e rendimentos</w:t>
      </w:r>
      <w:r>
        <w:rPr>
          <w:rFonts w:ascii="Arial" w:hAnsi="Arial" w:cs="Arial"/>
          <w:sz w:val="20"/>
          <w:szCs w:val="20"/>
        </w:rPr>
        <w:t>”</w:t>
      </w:r>
      <w:r w:rsidRPr="00B26030">
        <w:rPr>
          <w:rFonts w:ascii="Arial" w:hAnsi="Arial" w:cs="Arial"/>
          <w:sz w:val="20"/>
          <w:szCs w:val="20"/>
        </w:rPr>
        <w:t>.</w:t>
      </w:r>
      <w:r>
        <w:rPr>
          <w:rFonts w:ascii="Arial" w:hAnsi="Arial" w:cs="Arial"/>
          <w:sz w:val="20"/>
          <w:szCs w:val="20"/>
        </w:rPr>
        <w:t xml:space="preserve"> </w:t>
      </w:r>
      <w:r w:rsidRPr="002E7123">
        <w:rPr>
          <w:rFonts w:ascii="Arial" w:hAnsi="Arial" w:cs="Arial"/>
          <w:sz w:val="20"/>
          <w:szCs w:val="20"/>
        </w:rPr>
        <w:t xml:space="preserve">(BRASIL, Superior Tribunal de Justiça. Recurso Especial nº 992.749/MS, Gustavo Alves de Souza e outros x Paula Rosa de Souza. Rel: Min. Nancy Andrighi, Brasília, 01 dez. 2009. </w:t>
      </w:r>
      <w:r w:rsidRPr="002E7123">
        <w:rPr>
          <w:rFonts w:ascii="Arial" w:hAnsi="Arial" w:cs="Arial"/>
          <w:b/>
          <w:bCs/>
          <w:sz w:val="20"/>
          <w:szCs w:val="20"/>
        </w:rPr>
        <w:t>Diário da Justiça Eletrônico do Superior Tribunal de Justiça</w:t>
      </w:r>
      <w:r w:rsidRPr="002E7123">
        <w:rPr>
          <w:rFonts w:ascii="Arial" w:hAnsi="Arial" w:cs="Arial"/>
          <w:sz w:val="20"/>
          <w:szCs w:val="20"/>
        </w:rPr>
        <w:t>: 05 fev. 2010</w:t>
      </w:r>
      <w:r>
        <w:rPr>
          <w:rFonts w:ascii="Arial" w:hAnsi="Arial" w:cs="Arial"/>
          <w:sz w:val="20"/>
          <w:szCs w:val="20"/>
        </w:rPr>
        <w:t>, p.17.</w:t>
      </w:r>
    </w:p>
  </w:footnote>
  <w:footnote w:id="80">
    <w:p w:rsidR="00E563F1" w:rsidRPr="00904C03" w:rsidRDefault="00E563F1" w:rsidP="00E16231">
      <w:pPr>
        <w:pStyle w:val="Textodenotaderodap"/>
        <w:jc w:val="both"/>
        <w:rPr>
          <w:rFonts w:ascii="Arial" w:hAnsi="Arial" w:cs="Arial"/>
        </w:rPr>
      </w:pPr>
      <w:r w:rsidRPr="00904C03">
        <w:rPr>
          <w:rStyle w:val="Refdenotaderodap"/>
          <w:rFonts w:ascii="Arial" w:hAnsi="Arial" w:cs="Arial"/>
        </w:rPr>
        <w:footnoteRef/>
      </w:r>
      <w:r>
        <w:rPr>
          <w:rFonts w:ascii="Arial" w:hAnsi="Arial" w:cs="Arial"/>
        </w:rPr>
        <w:t xml:space="preserve"> Ibidem, p. 20.</w:t>
      </w:r>
    </w:p>
  </w:footnote>
  <w:footnote w:id="81">
    <w:p w:rsidR="00E563F1" w:rsidRPr="00FB3A05" w:rsidRDefault="00E563F1" w:rsidP="00E16231">
      <w:pPr>
        <w:pStyle w:val="Textodenotaderodap"/>
        <w:jc w:val="both"/>
        <w:rPr>
          <w:rFonts w:ascii="Arial" w:hAnsi="Arial" w:cs="Arial"/>
        </w:rPr>
      </w:pPr>
      <w:r w:rsidRPr="002E7123">
        <w:rPr>
          <w:rStyle w:val="Refdenotaderodap"/>
          <w:rFonts w:ascii="Arial" w:hAnsi="Arial" w:cs="Arial"/>
        </w:rPr>
        <w:footnoteRef/>
      </w:r>
      <w:r w:rsidRPr="002E7123">
        <w:rPr>
          <w:rFonts w:ascii="Arial" w:hAnsi="Arial" w:cs="Arial"/>
        </w:rPr>
        <w:t xml:space="preserve"> </w:t>
      </w:r>
      <w:r>
        <w:rPr>
          <w:rFonts w:ascii="Arial" w:hAnsi="Arial" w:cs="Arial"/>
        </w:rPr>
        <w:t>Ibidem, p. 18.</w:t>
      </w:r>
    </w:p>
  </w:footnote>
  <w:footnote w:id="82">
    <w:p w:rsidR="00E563F1" w:rsidRPr="006453A6" w:rsidRDefault="00E563F1" w:rsidP="006453A6">
      <w:pPr>
        <w:pStyle w:val="Textodenotaderodap"/>
        <w:jc w:val="both"/>
        <w:rPr>
          <w:rFonts w:ascii="Arial" w:hAnsi="Arial" w:cs="Arial"/>
        </w:rPr>
      </w:pPr>
      <w:r w:rsidRPr="006453A6">
        <w:rPr>
          <w:rStyle w:val="Refdenotaderodap"/>
          <w:rFonts w:ascii="Arial" w:hAnsi="Arial" w:cs="Arial"/>
        </w:rPr>
        <w:footnoteRef/>
      </w:r>
      <w:r w:rsidRPr="006453A6">
        <w:rPr>
          <w:rFonts w:ascii="Arial" w:hAnsi="Arial" w:cs="Arial"/>
        </w:rPr>
        <w:t xml:space="preserve"> Ibidem, p. 20.</w:t>
      </w:r>
    </w:p>
  </w:footnote>
  <w:footnote w:id="83">
    <w:p w:rsidR="00E563F1" w:rsidRPr="00A416A1" w:rsidRDefault="00E563F1" w:rsidP="00A416A1">
      <w:pPr>
        <w:pStyle w:val="Textodenotaderodap"/>
        <w:jc w:val="both"/>
        <w:rPr>
          <w:rFonts w:ascii="Arial" w:hAnsi="Arial" w:cs="Arial"/>
        </w:rPr>
      </w:pPr>
      <w:r w:rsidRPr="00A416A1">
        <w:rPr>
          <w:rStyle w:val="Refdenotaderodap"/>
          <w:rFonts w:ascii="Arial" w:hAnsi="Arial" w:cs="Arial"/>
        </w:rPr>
        <w:footnoteRef/>
      </w:r>
      <w:r w:rsidRPr="00A416A1">
        <w:rPr>
          <w:rFonts w:ascii="Arial" w:hAnsi="Arial" w:cs="Arial"/>
        </w:rPr>
        <w:t xml:space="preserve"> </w:t>
      </w:r>
      <w:r w:rsidRPr="0000471A">
        <w:rPr>
          <w:rFonts w:ascii="Arial" w:hAnsi="Arial" w:cs="Arial"/>
        </w:rPr>
        <w:t xml:space="preserve">TARTUCE, Flávio. </w:t>
      </w:r>
      <w:r w:rsidRPr="0000471A">
        <w:rPr>
          <w:rFonts w:ascii="Arial" w:hAnsi="Arial" w:cs="Arial"/>
          <w:b/>
        </w:rPr>
        <w:t xml:space="preserve">Manual de Direito Civil. </w:t>
      </w:r>
      <w:r w:rsidRPr="0000471A">
        <w:rPr>
          <w:rFonts w:ascii="Arial" w:hAnsi="Arial" w:cs="Arial"/>
        </w:rPr>
        <w:t xml:space="preserve">Volume único, </w:t>
      </w:r>
      <w:r w:rsidRPr="0000471A">
        <w:rPr>
          <w:rFonts w:ascii="Arial" w:eastAsia="ArialMT" w:hAnsi="Arial" w:cs="Arial"/>
        </w:rPr>
        <w:t xml:space="preserve">8ª. ed. rev, atual. e ampl. – Rio de Janeiro: Forense; </w:t>
      </w:r>
      <w:r>
        <w:rPr>
          <w:rFonts w:ascii="Arial" w:eastAsia="ArialMT" w:hAnsi="Arial" w:cs="Arial"/>
        </w:rPr>
        <w:t>São Paulo: Método, 2018, p. 1489.</w:t>
      </w:r>
    </w:p>
  </w:footnote>
  <w:footnote w:id="84">
    <w:p w:rsidR="00E563F1" w:rsidRPr="002D2436" w:rsidRDefault="00E563F1" w:rsidP="004A4967">
      <w:pPr>
        <w:pStyle w:val="Textodenotaderodap"/>
        <w:jc w:val="both"/>
        <w:rPr>
          <w:rFonts w:ascii="Arial" w:hAnsi="Arial" w:cs="Arial"/>
        </w:rPr>
      </w:pPr>
      <w:r w:rsidRPr="002D2436">
        <w:rPr>
          <w:rStyle w:val="Refdenotaderodap"/>
          <w:rFonts w:ascii="Arial" w:hAnsi="Arial" w:cs="Arial"/>
        </w:rPr>
        <w:footnoteRef/>
      </w:r>
      <w:r w:rsidRPr="002D2436">
        <w:rPr>
          <w:rFonts w:ascii="Arial" w:hAnsi="Arial" w:cs="Arial"/>
        </w:rPr>
        <w:t xml:space="preserve"> AZEVEDO, Maria Vicente de. </w:t>
      </w:r>
      <w:r w:rsidRPr="002D2436">
        <w:rPr>
          <w:rFonts w:ascii="Arial" w:hAnsi="Arial" w:cs="Arial"/>
          <w:b/>
        </w:rPr>
        <w:t>Jornal “Tribuna do Direito”</w:t>
      </w:r>
      <w:r w:rsidRPr="002D2436">
        <w:rPr>
          <w:rFonts w:ascii="Arial" w:hAnsi="Arial" w:cs="Arial"/>
        </w:rPr>
        <w:t>. Nov. 2003, p. 24.</w:t>
      </w:r>
    </w:p>
  </w:footnote>
  <w:footnote w:id="85">
    <w:p w:rsidR="00E563F1" w:rsidRPr="007310D4" w:rsidRDefault="00E563F1" w:rsidP="007310D4">
      <w:pPr>
        <w:pStyle w:val="Textodenotaderodap"/>
        <w:jc w:val="both"/>
        <w:rPr>
          <w:rFonts w:ascii="Arial" w:hAnsi="Arial" w:cs="Arial"/>
        </w:rPr>
      </w:pPr>
      <w:r w:rsidRPr="002D2436">
        <w:rPr>
          <w:rStyle w:val="Refdenotaderodap"/>
          <w:rFonts w:ascii="Arial" w:hAnsi="Arial" w:cs="Arial"/>
        </w:rPr>
        <w:footnoteRef/>
      </w:r>
      <w:r w:rsidRPr="002D2436">
        <w:rPr>
          <w:rFonts w:ascii="Arial" w:hAnsi="Arial" w:cs="Arial"/>
        </w:rPr>
        <w:t xml:space="preserve"> MONTEIRO, Washington de Barros. </w:t>
      </w:r>
      <w:r w:rsidRPr="002D2436">
        <w:rPr>
          <w:rFonts w:ascii="Arial" w:hAnsi="Arial" w:cs="Arial"/>
          <w:b/>
        </w:rPr>
        <w:t>Curso de Direito Civil – Direito das Sucessões</w:t>
      </w:r>
      <w:r w:rsidRPr="002D2436">
        <w:rPr>
          <w:rFonts w:ascii="Arial" w:hAnsi="Arial" w:cs="Arial"/>
        </w:rPr>
        <w:t xml:space="preserve">. 35 ed., atual. São </w:t>
      </w:r>
      <w:r w:rsidRPr="007310D4">
        <w:rPr>
          <w:rFonts w:ascii="Arial" w:hAnsi="Arial" w:cs="Arial"/>
        </w:rPr>
        <w:t>Paulo: Saraiva, 2003, v.6, p. 97.</w:t>
      </w:r>
    </w:p>
  </w:footnote>
  <w:footnote w:id="86">
    <w:p w:rsidR="00E563F1" w:rsidRDefault="00E563F1" w:rsidP="001A5AF3">
      <w:pPr>
        <w:pStyle w:val="Textodenotaderodap"/>
        <w:jc w:val="both"/>
      </w:pPr>
      <w:r w:rsidRPr="00EC450D">
        <w:rPr>
          <w:rStyle w:val="Refdenotaderodap"/>
          <w:rFonts w:ascii="Arial" w:hAnsi="Arial" w:cs="Arial"/>
        </w:rPr>
        <w:footnoteRef/>
      </w:r>
      <w:r>
        <w:t xml:space="preserve"> </w:t>
      </w:r>
      <w:r w:rsidRPr="002D2436">
        <w:rPr>
          <w:rFonts w:ascii="Arial" w:hAnsi="Arial" w:cs="Arial"/>
        </w:rPr>
        <w:t xml:space="preserve">VELOSO, Zeno. </w:t>
      </w:r>
      <w:r w:rsidRPr="002D2436">
        <w:rPr>
          <w:rFonts w:ascii="Arial" w:hAnsi="Arial" w:cs="Arial"/>
          <w:b/>
        </w:rPr>
        <w:t>Novo Código Civil Comentado</w:t>
      </w:r>
      <w:r w:rsidRPr="002D2436">
        <w:rPr>
          <w:rFonts w:ascii="Arial" w:hAnsi="Arial" w:cs="Arial"/>
        </w:rPr>
        <w:t>. 5ª ed. São Paulo: Saraiva, 2006, p. 1.525.</w:t>
      </w:r>
    </w:p>
  </w:footnote>
  <w:footnote w:id="87">
    <w:p w:rsidR="00E563F1" w:rsidRPr="00AD4F9B" w:rsidRDefault="00E563F1" w:rsidP="00AD4F9B">
      <w:pPr>
        <w:autoSpaceDE w:val="0"/>
        <w:autoSpaceDN w:val="0"/>
        <w:adjustRightInd w:val="0"/>
        <w:spacing w:line="240" w:lineRule="auto"/>
        <w:jc w:val="both"/>
        <w:rPr>
          <w:rFonts w:ascii="Arial" w:hAnsi="Arial" w:cs="Arial"/>
          <w:i/>
          <w:iCs/>
          <w:sz w:val="20"/>
          <w:szCs w:val="20"/>
        </w:rPr>
      </w:pPr>
      <w:r w:rsidRPr="00AD4F9B">
        <w:rPr>
          <w:rStyle w:val="Refdenotaderodap"/>
          <w:rFonts w:ascii="Arial" w:hAnsi="Arial" w:cs="Arial"/>
          <w:sz w:val="20"/>
          <w:szCs w:val="20"/>
        </w:rPr>
        <w:footnoteRef/>
      </w:r>
      <w:r w:rsidRPr="00AD4F9B">
        <w:rPr>
          <w:rFonts w:ascii="Arial" w:hAnsi="Arial" w:cs="Arial"/>
          <w:sz w:val="20"/>
          <w:szCs w:val="20"/>
        </w:rPr>
        <w:t xml:space="preserve"> </w:t>
      </w:r>
      <w:r>
        <w:rPr>
          <w:rFonts w:ascii="Arial" w:hAnsi="Arial" w:cs="Arial"/>
          <w:sz w:val="20"/>
          <w:szCs w:val="20"/>
        </w:rPr>
        <w:t>VELOSO, Zeno</w:t>
      </w:r>
      <w:r w:rsidRPr="00AD4F9B">
        <w:rPr>
          <w:rFonts w:ascii="Arial" w:hAnsi="Arial" w:cs="Arial"/>
          <w:sz w:val="20"/>
          <w:szCs w:val="20"/>
        </w:rPr>
        <w:t xml:space="preserve">. </w:t>
      </w:r>
      <w:r w:rsidRPr="00AD4F9B">
        <w:rPr>
          <w:rFonts w:ascii="Arial" w:hAnsi="Arial" w:cs="Arial"/>
          <w:b/>
          <w:iCs/>
          <w:sz w:val="20"/>
          <w:szCs w:val="20"/>
        </w:rPr>
        <w:t>Direito hereditário do cônjuge e do companheiro</w:t>
      </w:r>
      <w:r>
        <w:rPr>
          <w:rFonts w:ascii="Arial" w:hAnsi="Arial" w:cs="Arial"/>
          <w:b/>
          <w:sz w:val="20"/>
          <w:szCs w:val="20"/>
        </w:rPr>
        <w:t xml:space="preserve">. </w:t>
      </w:r>
      <w:r w:rsidRPr="00AD4F9B">
        <w:rPr>
          <w:rFonts w:ascii="Arial" w:hAnsi="Arial" w:cs="Arial"/>
          <w:sz w:val="20"/>
          <w:szCs w:val="20"/>
        </w:rPr>
        <w:t>1ª ed., São Paulo: Saraiva, 2010, p. 69/72</w:t>
      </w:r>
      <w:r>
        <w:rPr>
          <w:rFonts w:ascii="Arial" w:hAnsi="Arial" w:cs="Arial"/>
          <w:sz w:val="20"/>
          <w:szCs w:val="20"/>
        </w:rPr>
        <w:t>.</w:t>
      </w:r>
    </w:p>
  </w:footnote>
  <w:footnote w:id="88">
    <w:p w:rsidR="00E563F1" w:rsidRPr="00AD4F9B" w:rsidRDefault="00E563F1" w:rsidP="001513DA">
      <w:pPr>
        <w:tabs>
          <w:tab w:val="left" w:pos="4830"/>
        </w:tabs>
        <w:spacing w:line="240" w:lineRule="auto"/>
        <w:jc w:val="both"/>
        <w:rPr>
          <w:rFonts w:ascii="Arial" w:hAnsi="Arial" w:cs="Arial"/>
          <w:sz w:val="20"/>
          <w:szCs w:val="20"/>
        </w:rPr>
      </w:pPr>
      <w:r w:rsidRPr="00AD4F9B">
        <w:rPr>
          <w:rStyle w:val="Refdenotaderodap"/>
          <w:rFonts w:ascii="Arial" w:hAnsi="Arial" w:cs="Arial"/>
          <w:sz w:val="20"/>
          <w:szCs w:val="20"/>
        </w:rPr>
        <w:footnoteRef/>
      </w:r>
      <w:r w:rsidRPr="00AD4F9B">
        <w:rPr>
          <w:rFonts w:ascii="Arial" w:hAnsi="Arial" w:cs="Arial"/>
          <w:sz w:val="20"/>
          <w:szCs w:val="20"/>
        </w:rPr>
        <w:t xml:space="preserve"> </w:t>
      </w:r>
      <w:r w:rsidRPr="00E412BC">
        <w:rPr>
          <w:rFonts w:ascii="Arial" w:hAnsi="Arial" w:cs="Arial"/>
          <w:sz w:val="20"/>
          <w:szCs w:val="20"/>
        </w:rPr>
        <w:t>BRASIL, Lei nº. 10.406/02.</w:t>
      </w:r>
      <w:r>
        <w:rPr>
          <w:rFonts w:ascii="Arial" w:hAnsi="Arial" w:cs="Arial"/>
          <w:sz w:val="20"/>
          <w:szCs w:val="20"/>
        </w:rPr>
        <w:t xml:space="preserve"> </w:t>
      </w:r>
      <w:r w:rsidRPr="00AD4F9B">
        <w:rPr>
          <w:rFonts w:ascii="Arial" w:hAnsi="Arial" w:cs="Arial"/>
          <w:sz w:val="20"/>
          <w:szCs w:val="20"/>
        </w:rPr>
        <w:t xml:space="preserve">Art. 1829. A sucessão legítima defere-se na ordem seguinte: </w:t>
      </w:r>
    </w:p>
    <w:p w:rsidR="00E563F1" w:rsidRPr="00791186" w:rsidRDefault="00E563F1" w:rsidP="00AD4F9B">
      <w:pPr>
        <w:tabs>
          <w:tab w:val="left" w:pos="4830"/>
        </w:tabs>
        <w:spacing w:line="240" w:lineRule="auto"/>
        <w:jc w:val="both"/>
        <w:rPr>
          <w:rFonts w:ascii="Arial" w:hAnsi="Arial" w:cs="Arial"/>
          <w:color w:val="000000" w:themeColor="text1"/>
          <w:sz w:val="20"/>
          <w:szCs w:val="20"/>
        </w:rPr>
      </w:pPr>
      <w:r w:rsidRPr="00AD4F9B">
        <w:rPr>
          <w:rFonts w:ascii="Arial" w:hAnsi="Arial" w:cs="Arial"/>
          <w:sz w:val="20"/>
          <w:szCs w:val="20"/>
        </w:rPr>
        <w:t>I - a</w:t>
      </w:r>
      <w:r w:rsidRPr="00AD4F9B">
        <w:rPr>
          <w:rFonts w:ascii="Arial" w:hAnsi="Arial" w:cs="Arial"/>
          <w:iCs/>
          <w:sz w:val="20"/>
          <w:szCs w:val="20"/>
        </w:rPr>
        <w:t xml:space="preserve">os descendentes, em concorrência com o cônjuge </w:t>
      </w:r>
      <w:r w:rsidRPr="00791186">
        <w:rPr>
          <w:rFonts w:ascii="Arial" w:hAnsi="Arial" w:cs="Arial"/>
          <w:iCs/>
          <w:color w:val="000000" w:themeColor="text1"/>
          <w:sz w:val="20"/>
          <w:szCs w:val="20"/>
        </w:rPr>
        <w:t>sobrevivente, salvo se casado este com o falecido no regime da comunhão universal, ou no da separação obrigatória de bens (art. 1.640, parágrafo único); (...).</w:t>
      </w:r>
    </w:p>
  </w:footnote>
  <w:footnote w:id="89">
    <w:p w:rsidR="00E563F1" w:rsidRPr="00644CC1" w:rsidRDefault="00E563F1" w:rsidP="00644CC1">
      <w:pPr>
        <w:autoSpaceDE w:val="0"/>
        <w:autoSpaceDN w:val="0"/>
        <w:adjustRightInd w:val="0"/>
        <w:spacing w:line="240" w:lineRule="auto"/>
        <w:jc w:val="both"/>
        <w:rPr>
          <w:rFonts w:ascii="Arial" w:hAnsi="Arial" w:cs="Arial"/>
          <w:sz w:val="20"/>
          <w:szCs w:val="20"/>
        </w:rPr>
      </w:pPr>
      <w:r w:rsidRPr="00644CC1">
        <w:rPr>
          <w:rStyle w:val="Refdenotaderodap"/>
          <w:rFonts w:ascii="Arial" w:hAnsi="Arial" w:cs="Arial"/>
          <w:sz w:val="20"/>
          <w:szCs w:val="20"/>
        </w:rPr>
        <w:footnoteRef/>
      </w:r>
      <w:r>
        <w:rPr>
          <w:rFonts w:ascii="Arial" w:hAnsi="Arial" w:cs="Arial"/>
          <w:sz w:val="20"/>
          <w:szCs w:val="20"/>
        </w:rPr>
        <w:t xml:space="preserve"> O</w:t>
      </w:r>
      <w:r w:rsidRPr="00644CC1">
        <w:rPr>
          <w:rFonts w:ascii="Arial" w:hAnsi="Arial" w:cs="Arial"/>
          <w:sz w:val="20"/>
          <w:szCs w:val="20"/>
        </w:rPr>
        <w:t xml:space="preserve"> Projeto de Lei n. 276/2007 (reapresentação do PL n. 6.960/2002)</w:t>
      </w:r>
      <w:r>
        <w:rPr>
          <w:rFonts w:ascii="Arial" w:hAnsi="Arial" w:cs="Arial"/>
          <w:sz w:val="20"/>
          <w:szCs w:val="20"/>
        </w:rPr>
        <w:t xml:space="preserve"> propõe corrigir esse equívoco, a fim de que passe a constar a remissão ao artigo 1.641.</w:t>
      </w:r>
      <w:r w:rsidRPr="00644CC1">
        <w:rPr>
          <w:rFonts w:ascii="Arial" w:hAnsi="Arial" w:cs="Arial"/>
          <w:sz w:val="20"/>
          <w:szCs w:val="20"/>
        </w:rPr>
        <w:t xml:space="preserve"> </w:t>
      </w:r>
      <w:r>
        <w:rPr>
          <w:rFonts w:ascii="Arial" w:hAnsi="Arial" w:cs="Arial"/>
          <w:sz w:val="20"/>
          <w:szCs w:val="20"/>
        </w:rPr>
        <w:t xml:space="preserve">(PELUZO, </w:t>
      </w:r>
      <w:r w:rsidRPr="00644CC1">
        <w:rPr>
          <w:rFonts w:ascii="Arial" w:hAnsi="Arial" w:cs="Arial"/>
          <w:sz w:val="20"/>
          <w:szCs w:val="20"/>
        </w:rPr>
        <w:t>Cezar</w:t>
      </w:r>
      <w:r>
        <w:rPr>
          <w:rFonts w:ascii="Arial" w:hAnsi="Arial" w:cs="Arial"/>
          <w:sz w:val="20"/>
          <w:szCs w:val="20"/>
        </w:rPr>
        <w:t xml:space="preserve">. </w:t>
      </w:r>
      <w:r>
        <w:rPr>
          <w:rFonts w:ascii="Arial" w:hAnsi="Arial" w:cs="Arial"/>
          <w:b/>
          <w:iCs/>
          <w:sz w:val="20"/>
          <w:szCs w:val="20"/>
        </w:rPr>
        <w:t>Código Civil Comentado.</w:t>
      </w:r>
      <w:r>
        <w:rPr>
          <w:rFonts w:ascii="Arial" w:hAnsi="Arial" w:cs="Arial"/>
          <w:i/>
          <w:iCs/>
          <w:sz w:val="20"/>
          <w:szCs w:val="20"/>
        </w:rPr>
        <w:t xml:space="preserve"> </w:t>
      </w:r>
      <w:r w:rsidRPr="00644CC1">
        <w:rPr>
          <w:rFonts w:ascii="Arial" w:hAnsi="Arial" w:cs="Arial"/>
          <w:sz w:val="20"/>
          <w:szCs w:val="20"/>
        </w:rPr>
        <w:t>4ª ed. Barueri: Manole, 2010, p. 2.153/54.)</w:t>
      </w:r>
    </w:p>
  </w:footnote>
  <w:footnote w:id="90">
    <w:p w:rsidR="00E563F1" w:rsidRPr="0004174E" w:rsidRDefault="00E563F1" w:rsidP="001421B8">
      <w:pPr>
        <w:pStyle w:val="Textodenotaderodap"/>
        <w:jc w:val="both"/>
        <w:rPr>
          <w:rFonts w:ascii="Arial" w:hAnsi="Arial" w:cs="Arial"/>
          <w:color w:val="FF0000"/>
        </w:rPr>
      </w:pPr>
      <w:r w:rsidRPr="0004174E">
        <w:rPr>
          <w:rStyle w:val="Refdenotaderodap"/>
          <w:rFonts w:ascii="Arial" w:hAnsi="Arial" w:cs="Arial"/>
        </w:rPr>
        <w:footnoteRef/>
      </w:r>
      <w:r>
        <w:rPr>
          <w:rFonts w:ascii="Arial" w:hAnsi="Arial" w:cs="Arial"/>
        </w:rPr>
        <w:t xml:space="preserve"> </w:t>
      </w:r>
      <w:r w:rsidRPr="002E7123">
        <w:rPr>
          <w:rFonts w:ascii="Arial" w:hAnsi="Arial" w:cs="Arial"/>
        </w:rPr>
        <w:t xml:space="preserve">BRASIL, Superior Tribunal de Justiça. Recurso Especial nº 992.749/MS, Gustavo Alves de Souza e outros x Paula Rosa de Souza. Rel: Min. Nancy Andrighi, Brasília, 01 dez. 2009. </w:t>
      </w:r>
      <w:r w:rsidRPr="002E7123">
        <w:rPr>
          <w:rFonts w:ascii="Arial" w:hAnsi="Arial" w:cs="Arial"/>
          <w:b/>
          <w:bCs/>
        </w:rPr>
        <w:t>Diário da Justiça Eletrônico do Superior Tribunal de Justiça</w:t>
      </w:r>
      <w:r w:rsidRPr="002E7123">
        <w:rPr>
          <w:rFonts w:ascii="Arial" w:hAnsi="Arial" w:cs="Arial"/>
        </w:rPr>
        <w:t>: 05 fev. 2010</w:t>
      </w:r>
      <w:r>
        <w:rPr>
          <w:rFonts w:ascii="Arial" w:hAnsi="Arial" w:cs="Arial"/>
        </w:rPr>
        <w:t>.</w:t>
      </w:r>
    </w:p>
  </w:footnote>
  <w:footnote w:id="91">
    <w:p w:rsidR="00E563F1" w:rsidRPr="00B131D2" w:rsidRDefault="00E563F1" w:rsidP="00B131D2">
      <w:pPr>
        <w:autoSpaceDE w:val="0"/>
        <w:autoSpaceDN w:val="0"/>
        <w:adjustRightInd w:val="0"/>
        <w:spacing w:line="240" w:lineRule="auto"/>
        <w:jc w:val="left"/>
        <w:rPr>
          <w:rFonts w:ascii="Arial" w:hAnsi="Arial" w:cs="Arial"/>
          <w:sz w:val="20"/>
          <w:szCs w:val="20"/>
        </w:rPr>
      </w:pPr>
      <w:r w:rsidRPr="00B131D2">
        <w:rPr>
          <w:rStyle w:val="Refdenotaderodap"/>
          <w:rFonts w:ascii="Arial" w:hAnsi="Arial" w:cs="Arial"/>
          <w:sz w:val="20"/>
          <w:szCs w:val="20"/>
        </w:rPr>
        <w:footnoteRef/>
      </w:r>
      <w:r w:rsidRPr="00B131D2">
        <w:rPr>
          <w:rFonts w:ascii="Arial" w:hAnsi="Arial" w:cs="Arial"/>
          <w:sz w:val="20"/>
          <w:szCs w:val="20"/>
        </w:rPr>
        <w:t xml:space="preserve"> TARTUCE, Flávio. </w:t>
      </w:r>
      <w:r w:rsidRPr="00B131D2">
        <w:rPr>
          <w:rFonts w:ascii="Arial" w:hAnsi="Arial" w:cs="Arial"/>
          <w:b/>
          <w:iCs/>
          <w:sz w:val="20"/>
          <w:szCs w:val="20"/>
        </w:rPr>
        <w:t>Direito Ci</w:t>
      </w:r>
      <w:r w:rsidRPr="00912321">
        <w:rPr>
          <w:rFonts w:ascii="Arial" w:hAnsi="Arial" w:cs="Arial"/>
          <w:b/>
          <w:iCs/>
          <w:sz w:val="20"/>
          <w:szCs w:val="20"/>
        </w:rPr>
        <w:t>vil: direito das sucessões</w:t>
      </w:r>
      <w:r>
        <w:rPr>
          <w:rFonts w:ascii="Arial" w:hAnsi="Arial" w:cs="Arial"/>
          <w:sz w:val="20"/>
          <w:szCs w:val="20"/>
        </w:rPr>
        <w:t>. Vol. 6.</w:t>
      </w:r>
      <w:r w:rsidRPr="00912321">
        <w:rPr>
          <w:rFonts w:ascii="Arial" w:hAnsi="Arial" w:cs="Arial"/>
          <w:sz w:val="20"/>
          <w:szCs w:val="20"/>
        </w:rPr>
        <w:t xml:space="preserve"> 6ª ed. São P</w:t>
      </w:r>
      <w:r>
        <w:rPr>
          <w:rFonts w:ascii="Arial" w:hAnsi="Arial" w:cs="Arial"/>
          <w:sz w:val="20"/>
          <w:szCs w:val="20"/>
        </w:rPr>
        <w:t>aulo: Método, 2013, p. 162/168.</w:t>
      </w:r>
    </w:p>
  </w:footnote>
  <w:footnote w:id="92">
    <w:p w:rsidR="00E563F1" w:rsidRPr="00A67E6A" w:rsidRDefault="00E563F1" w:rsidP="00A67E6A">
      <w:pPr>
        <w:pStyle w:val="Textodenotaderodap"/>
        <w:jc w:val="both"/>
        <w:rPr>
          <w:rFonts w:ascii="Arial" w:hAnsi="Arial" w:cs="Arial"/>
        </w:rPr>
      </w:pPr>
      <w:r w:rsidRPr="00791186">
        <w:rPr>
          <w:rStyle w:val="Refdenotaderodap"/>
          <w:rFonts w:ascii="Arial" w:hAnsi="Arial" w:cs="Arial"/>
          <w:color w:val="000000" w:themeColor="text1"/>
        </w:rPr>
        <w:footnoteRef/>
      </w:r>
      <w:r w:rsidRPr="00791186">
        <w:rPr>
          <w:rFonts w:ascii="Arial" w:hAnsi="Arial" w:cs="Arial"/>
          <w:color w:val="000000" w:themeColor="text1"/>
        </w:rPr>
        <w:t xml:space="preserve"> </w:t>
      </w:r>
      <w:r w:rsidRPr="00791186">
        <w:rPr>
          <w:rFonts w:ascii="Arial" w:hAnsi="Arial" w:cs="Arial"/>
          <w:color w:val="000000" w:themeColor="text1"/>
          <w:shd w:val="clear" w:color="auto" w:fill="FFFFFF"/>
        </w:rPr>
        <w:t>ORSELLI. Helena de Azeredo. </w:t>
      </w:r>
      <w:r w:rsidRPr="00791186">
        <w:rPr>
          <w:rFonts w:ascii="Arial" w:hAnsi="Arial" w:cs="Arial"/>
          <w:b/>
          <w:bCs/>
          <w:color w:val="000000" w:themeColor="text1"/>
          <w:bdr w:val="none" w:sz="0" w:space="0" w:color="auto" w:frame="1"/>
          <w:shd w:val="clear" w:color="auto" w:fill="FFFFFF"/>
        </w:rPr>
        <w:t>A concorrência do cônjuge sobrevivente com os descendentes do falecido</w:t>
      </w:r>
      <w:r w:rsidRPr="00791186">
        <w:rPr>
          <w:rFonts w:ascii="Arial" w:hAnsi="Arial" w:cs="Arial"/>
          <w:color w:val="000000" w:themeColor="text1"/>
          <w:shd w:val="clear" w:color="auto" w:fill="FFFFFF"/>
        </w:rPr>
        <w:t>. Disponível em &lt;http://proxy.furb.br/ojs/index.php/juridica/article/viewPDFInterstitial/442/401&gt;. Acesso em 26 out 2019.</w:t>
      </w:r>
    </w:p>
  </w:footnote>
  <w:footnote w:id="93">
    <w:p w:rsidR="00E563F1" w:rsidRDefault="00E563F1" w:rsidP="00A42391">
      <w:pPr>
        <w:pStyle w:val="Textodenotaderodap"/>
        <w:tabs>
          <w:tab w:val="left" w:pos="4305"/>
          <w:tab w:val="center" w:pos="4536"/>
        </w:tabs>
        <w:jc w:val="both"/>
      </w:pPr>
      <w:r w:rsidRPr="006B5514">
        <w:rPr>
          <w:rStyle w:val="Refdenotaderodap"/>
          <w:rFonts w:ascii="Arial" w:hAnsi="Arial" w:cs="Arial"/>
        </w:rPr>
        <w:footnoteRef/>
      </w:r>
      <w:r>
        <w:t xml:space="preserve"> </w:t>
      </w:r>
      <w:r w:rsidRPr="007C68D4">
        <w:rPr>
          <w:rFonts w:ascii="Arial" w:hAnsi="Arial" w:cs="Arial"/>
        </w:rPr>
        <w:t xml:space="preserve">BRASIL, Superior Tribunal de Justiça. Recurso Especial nº </w:t>
      </w:r>
      <w:r>
        <w:rPr>
          <w:rFonts w:ascii="Arial" w:hAnsi="Arial" w:cs="Arial"/>
        </w:rPr>
        <w:t>1.382.170/SP</w:t>
      </w:r>
      <w:r w:rsidRPr="007C68D4">
        <w:rPr>
          <w:rFonts w:ascii="Arial" w:hAnsi="Arial" w:cs="Arial"/>
        </w:rPr>
        <w:t xml:space="preserve">, </w:t>
      </w:r>
      <w:r>
        <w:rPr>
          <w:rFonts w:ascii="Arial" w:hAnsi="Arial" w:cs="Arial"/>
        </w:rPr>
        <w:t>Flávia Matarazzo</w:t>
      </w:r>
      <w:r w:rsidRPr="007C68D4">
        <w:rPr>
          <w:rFonts w:ascii="Arial" w:hAnsi="Arial" w:cs="Arial"/>
        </w:rPr>
        <w:t xml:space="preserve"> x </w:t>
      </w:r>
      <w:r>
        <w:rPr>
          <w:rFonts w:ascii="Arial" w:hAnsi="Arial" w:cs="Arial"/>
        </w:rPr>
        <w:t>Silvia Maria Aranha Matarazzo</w:t>
      </w:r>
      <w:r w:rsidRPr="007C68D4">
        <w:rPr>
          <w:rFonts w:ascii="Arial" w:hAnsi="Arial" w:cs="Arial"/>
        </w:rPr>
        <w:t xml:space="preserve">. Rel: Min. </w:t>
      </w:r>
      <w:r>
        <w:rPr>
          <w:rFonts w:ascii="Arial" w:hAnsi="Arial" w:cs="Arial"/>
        </w:rPr>
        <w:t>Otávio de Noronha</w:t>
      </w:r>
      <w:r w:rsidRPr="007C68D4">
        <w:rPr>
          <w:rFonts w:ascii="Arial" w:hAnsi="Arial" w:cs="Arial"/>
        </w:rPr>
        <w:t xml:space="preserve">, Brasília, </w:t>
      </w:r>
      <w:r>
        <w:rPr>
          <w:rFonts w:ascii="Arial" w:hAnsi="Arial" w:cs="Arial"/>
        </w:rPr>
        <w:t>22 abr. 2015</w:t>
      </w:r>
      <w:r w:rsidRPr="007C68D4">
        <w:rPr>
          <w:rFonts w:ascii="Arial" w:hAnsi="Arial" w:cs="Arial"/>
        </w:rPr>
        <w:t xml:space="preserve">. </w:t>
      </w:r>
      <w:r w:rsidRPr="007C68D4">
        <w:rPr>
          <w:rFonts w:ascii="Arial" w:hAnsi="Arial" w:cs="Arial"/>
          <w:b/>
          <w:bCs/>
        </w:rPr>
        <w:t>Diário da Justiça Eletrônico do Superior Tribunal de Justiça</w:t>
      </w:r>
      <w:r w:rsidRPr="007C68D4">
        <w:rPr>
          <w:rFonts w:ascii="Arial" w:hAnsi="Arial" w:cs="Arial"/>
        </w:rPr>
        <w:t xml:space="preserve">: </w:t>
      </w:r>
      <w:r>
        <w:rPr>
          <w:rFonts w:ascii="Arial" w:hAnsi="Arial" w:cs="Arial"/>
        </w:rPr>
        <w:t>26 mai. 2015</w:t>
      </w:r>
      <w:r w:rsidRPr="007C68D4">
        <w:rPr>
          <w:rFonts w:ascii="Arial" w:hAnsi="Arial" w:cs="Arial"/>
        </w:rPr>
        <w:t>.</w:t>
      </w:r>
      <w:r w:rsidRPr="004E3496">
        <w:rPr>
          <w:rFonts w:ascii="Arial" w:hAnsi="Arial" w:cs="Arial"/>
        </w:rPr>
        <w:t xml:space="preserve"> </w:t>
      </w:r>
    </w:p>
  </w:footnote>
  <w:footnote w:id="94">
    <w:p w:rsidR="00E563F1" w:rsidRPr="00773C89" w:rsidRDefault="00E563F1" w:rsidP="00ED1A76">
      <w:pPr>
        <w:pStyle w:val="Textodenotaderodap"/>
        <w:jc w:val="both"/>
      </w:pPr>
      <w:r w:rsidRPr="00ED1A76">
        <w:rPr>
          <w:rStyle w:val="Refdenotaderodap"/>
          <w:rFonts w:ascii="Arial" w:hAnsi="Arial" w:cs="Arial"/>
        </w:rPr>
        <w:footnoteRef/>
      </w:r>
      <w:r w:rsidRPr="00ED1A76">
        <w:rPr>
          <w:rFonts w:ascii="Arial" w:hAnsi="Arial" w:cs="Arial"/>
        </w:rPr>
        <w:t xml:space="preserve"> </w:t>
      </w:r>
      <w:r>
        <w:rPr>
          <w:rFonts w:ascii="Arial" w:hAnsi="Arial" w:cs="Arial"/>
        </w:rPr>
        <w:t>Ibidem, p. 11.</w:t>
      </w:r>
    </w:p>
  </w:footnote>
  <w:footnote w:id="95">
    <w:p w:rsidR="00E563F1" w:rsidRDefault="00E563F1" w:rsidP="003B5084">
      <w:pPr>
        <w:pStyle w:val="Textodenotaderodap"/>
        <w:jc w:val="both"/>
      </w:pPr>
      <w:r w:rsidRPr="003B5084">
        <w:rPr>
          <w:rStyle w:val="Refdenotaderodap"/>
          <w:rFonts w:ascii="Arial" w:hAnsi="Arial" w:cs="Arial"/>
        </w:rPr>
        <w:footnoteRef/>
      </w:r>
      <w:r w:rsidRPr="003B5084">
        <w:rPr>
          <w:rFonts w:ascii="Arial" w:hAnsi="Arial" w:cs="Arial"/>
        </w:rPr>
        <w:t xml:space="preserve"> </w:t>
      </w:r>
      <w:r>
        <w:rPr>
          <w:rFonts w:ascii="Arial" w:hAnsi="Arial" w:cs="Arial"/>
        </w:rPr>
        <w:t>Ibidem, p. 15.</w:t>
      </w:r>
    </w:p>
  </w:footnote>
  <w:footnote w:id="96">
    <w:p w:rsidR="00E563F1" w:rsidRPr="00EB7590" w:rsidRDefault="00E563F1" w:rsidP="001D7D27">
      <w:pPr>
        <w:pStyle w:val="Textodenotaderodap"/>
        <w:jc w:val="both"/>
        <w:rPr>
          <w:rFonts w:ascii="Arial" w:hAnsi="Arial" w:cs="Arial"/>
        </w:rPr>
      </w:pPr>
      <w:r w:rsidRPr="00EB7590">
        <w:rPr>
          <w:rStyle w:val="Refdenotaderodap"/>
          <w:rFonts w:ascii="Arial" w:hAnsi="Arial" w:cs="Arial"/>
        </w:rPr>
        <w:footnoteRef/>
      </w:r>
      <w:r w:rsidRPr="00EB7590">
        <w:rPr>
          <w:rFonts w:ascii="Arial" w:hAnsi="Arial" w:cs="Arial"/>
        </w:rPr>
        <w:t xml:space="preserve"> </w:t>
      </w:r>
      <w:r>
        <w:rPr>
          <w:rFonts w:ascii="Arial" w:hAnsi="Arial" w:cs="Arial"/>
        </w:rPr>
        <w:t xml:space="preserve">Conselho da Justiça Federal. </w:t>
      </w:r>
      <w:r w:rsidRPr="00EB7590">
        <w:rPr>
          <w:rFonts w:ascii="Arial" w:hAnsi="Arial" w:cs="Arial"/>
          <w:b/>
        </w:rPr>
        <w:t>Enunciado nº 270 da III Jornada de Direito Civil.</w:t>
      </w:r>
      <w:r w:rsidRPr="00EB7590">
        <w:rPr>
          <w:rFonts w:ascii="Arial" w:hAnsi="Arial" w:cs="Arial"/>
        </w:rPr>
        <w:t xml:space="preserve"> </w:t>
      </w:r>
      <w:r>
        <w:rPr>
          <w:rFonts w:ascii="Arial" w:hAnsi="Arial" w:cs="Arial"/>
        </w:rPr>
        <w:t>Disponível em &lt;</w:t>
      </w:r>
      <w:hyperlink r:id="rId10" w:history="1">
        <w:r w:rsidRPr="00EB7590">
          <w:rPr>
            <w:rStyle w:val="Hyperlink"/>
            <w:rFonts w:ascii="Arial" w:hAnsi="Arial" w:cs="Arial"/>
            <w:color w:val="auto"/>
            <w:u w:val="none"/>
          </w:rPr>
          <w:t>https://www.cjf.jus.br/enunciados/enunciado/531</w:t>
        </w:r>
      </w:hyperlink>
      <w:r>
        <w:rPr>
          <w:rFonts w:ascii="Arial" w:hAnsi="Arial" w:cs="Arial"/>
        </w:rPr>
        <w:t>&gt;; Acesso em 28 out. 2019.</w:t>
      </w:r>
    </w:p>
  </w:footnote>
  <w:footnote w:id="97">
    <w:p w:rsidR="00E563F1" w:rsidRPr="00773C89" w:rsidRDefault="00E563F1" w:rsidP="00773C89">
      <w:pPr>
        <w:pStyle w:val="Textodenotaderodap"/>
        <w:jc w:val="both"/>
        <w:rPr>
          <w:rFonts w:ascii="Arial" w:hAnsi="Arial" w:cs="Arial"/>
        </w:rPr>
      </w:pPr>
      <w:r w:rsidRPr="007C68D4">
        <w:rPr>
          <w:rStyle w:val="Refdenotaderodap"/>
          <w:rFonts w:ascii="Arial" w:hAnsi="Arial" w:cs="Arial"/>
        </w:rPr>
        <w:footnoteRef/>
      </w:r>
      <w:r>
        <w:rPr>
          <w:rFonts w:ascii="Arial" w:hAnsi="Arial" w:cs="Arial"/>
        </w:rPr>
        <w:t xml:space="preserve"> Ibidem, voto-vista, Min. Raul Araújo.</w:t>
      </w:r>
    </w:p>
  </w:footnote>
  <w:footnote w:id="98">
    <w:p w:rsidR="00E563F1" w:rsidRPr="008C42AF" w:rsidRDefault="00E563F1" w:rsidP="008C42AF">
      <w:pPr>
        <w:pStyle w:val="Textodenotaderodap"/>
        <w:jc w:val="both"/>
        <w:rPr>
          <w:rFonts w:ascii="Arial" w:hAnsi="Arial" w:cs="Arial"/>
        </w:rPr>
      </w:pPr>
      <w:r w:rsidRPr="008C42AF">
        <w:rPr>
          <w:rStyle w:val="Refdenotaderodap"/>
          <w:rFonts w:ascii="Arial" w:hAnsi="Arial" w:cs="Arial"/>
        </w:rPr>
        <w:footnoteRef/>
      </w:r>
      <w:r w:rsidRPr="008C42AF">
        <w:rPr>
          <w:rFonts w:ascii="Arial" w:hAnsi="Arial" w:cs="Arial"/>
        </w:rPr>
        <w:t xml:space="preserve"> </w:t>
      </w:r>
      <w:r>
        <w:rPr>
          <w:rFonts w:ascii="Arial" w:hAnsi="Arial" w:cs="Arial"/>
        </w:rPr>
        <w:t xml:space="preserve">NUNES, João Batista. </w:t>
      </w:r>
      <w:r w:rsidRPr="00722BDE">
        <w:rPr>
          <w:rFonts w:ascii="Arial" w:hAnsi="Arial" w:cs="Arial"/>
          <w:b/>
        </w:rPr>
        <w:t xml:space="preserve">Família e sucessões: reflexos atuais. </w:t>
      </w:r>
      <w:r>
        <w:rPr>
          <w:rFonts w:ascii="Arial" w:hAnsi="Arial" w:cs="Arial"/>
        </w:rPr>
        <w:t>Curitiba: Juruá, 2009, p. 374.</w:t>
      </w:r>
    </w:p>
  </w:footnote>
  <w:footnote w:id="99">
    <w:p w:rsidR="00E563F1" w:rsidRPr="005808D0" w:rsidRDefault="00E563F1" w:rsidP="0036797E">
      <w:pPr>
        <w:pStyle w:val="Textodenotaderodap"/>
        <w:jc w:val="both"/>
        <w:rPr>
          <w:rFonts w:ascii="Arial" w:hAnsi="Arial" w:cs="Arial"/>
        </w:rPr>
      </w:pPr>
      <w:r w:rsidRPr="008C42AF">
        <w:rPr>
          <w:rStyle w:val="Refdenotaderodap"/>
          <w:rFonts w:ascii="Arial" w:hAnsi="Arial" w:cs="Arial"/>
        </w:rPr>
        <w:footnoteRef/>
      </w:r>
      <w:r w:rsidRPr="008C42AF">
        <w:rPr>
          <w:rFonts w:ascii="Arial" w:hAnsi="Arial" w:cs="Arial"/>
        </w:rPr>
        <w:t xml:space="preserve"> REALE, Miguel. </w:t>
      </w:r>
      <w:r w:rsidRPr="008C42AF">
        <w:rPr>
          <w:rFonts w:ascii="Arial" w:hAnsi="Arial" w:cs="Arial"/>
          <w:b/>
          <w:iCs/>
        </w:rPr>
        <w:t>Estudos Preliminares do Código Civil</w:t>
      </w:r>
      <w:r w:rsidRPr="008C42AF">
        <w:rPr>
          <w:rFonts w:ascii="Arial" w:hAnsi="Arial" w:cs="Arial"/>
        </w:rPr>
        <w:t xml:space="preserve">. São Paulo: Editora Revista dos Tribunais, </w:t>
      </w:r>
      <w:r w:rsidRPr="005808D0">
        <w:rPr>
          <w:rFonts w:ascii="Arial" w:hAnsi="Arial" w:cs="Arial"/>
        </w:rPr>
        <w:t>2003, p. 61-64.</w:t>
      </w:r>
    </w:p>
  </w:footnote>
  <w:footnote w:id="100">
    <w:p w:rsidR="00E563F1" w:rsidRDefault="00E563F1" w:rsidP="005808D0">
      <w:pPr>
        <w:pStyle w:val="Textodenotaderodap"/>
        <w:jc w:val="both"/>
      </w:pPr>
      <w:r w:rsidRPr="005808D0">
        <w:rPr>
          <w:rStyle w:val="Refdenotaderodap"/>
          <w:rFonts w:ascii="Arial" w:hAnsi="Arial" w:cs="Arial"/>
        </w:rPr>
        <w:footnoteRef/>
      </w:r>
      <w:r w:rsidRPr="005808D0">
        <w:rPr>
          <w:rFonts w:ascii="Arial" w:hAnsi="Arial" w:cs="Arial"/>
        </w:rPr>
        <w:t xml:space="preserve"> PEREIRA, Caio Mário da Silva. </w:t>
      </w:r>
      <w:r w:rsidRPr="005808D0">
        <w:rPr>
          <w:rFonts w:ascii="Arial" w:hAnsi="Arial" w:cs="Arial"/>
          <w:b/>
        </w:rPr>
        <w:t>Instituições de Direito Civil. Direito das Sucessões</w:t>
      </w:r>
      <w:r w:rsidRPr="005808D0">
        <w:rPr>
          <w:rFonts w:ascii="Arial" w:hAnsi="Arial" w:cs="Arial"/>
        </w:rPr>
        <w:t>. 15ª ed., atualizada. Rio de Janeiro: Forense, 2004. V. VI, p. 148-149.</w:t>
      </w:r>
    </w:p>
  </w:footnote>
  <w:footnote w:id="101">
    <w:p w:rsidR="00E563F1" w:rsidRDefault="00E563F1" w:rsidP="0036797E">
      <w:pPr>
        <w:pStyle w:val="Textodenotaderodap"/>
        <w:jc w:val="both"/>
      </w:pPr>
      <w:r w:rsidRPr="0036797E">
        <w:rPr>
          <w:rStyle w:val="Refdenotaderodap"/>
          <w:rFonts w:ascii="Arial" w:hAnsi="Arial" w:cs="Arial"/>
        </w:rPr>
        <w:footnoteRef/>
      </w:r>
      <w:r w:rsidRPr="0036797E">
        <w:rPr>
          <w:rFonts w:ascii="Arial" w:hAnsi="Arial" w:cs="Arial"/>
        </w:rPr>
        <w:t xml:space="preserve"> </w:t>
      </w:r>
      <w:r w:rsidRPr="00127068">
        <w:rPr>
          <w:rFonts w:ascii="Arial" w:hAnsi="Arial" w:cs="Arial"/>
        </w:rPr>
        <w:t xml:space="preserve">REALE, Miguel. </w:t>
      </w:r>
      <w:r w:rsidRPr="00127068">
        <w:rPr>
          <w:rFonts w:ascii="Arial" w:hAnsi="Arial" w:cs="Arial"/>
          <w:b/>
          <w:iCs/>
        </w:rPr>
        <w:t>Estudos Preliminares do Código Civil</w:t>
      </w:r>
      <w:r w:rsidRPr="00127068">
        <w:rPr>
          <w:rFonts w:ascii="Arial" w:hAnsi="Arial" w:cs="Arial"/>
        </w:rPr>
        <w:t>. São Paulo: Editora Re</w:t>
      </w:r>
      <w:r>
        <w:rPr>
          <w:rFonts w:ascii="Arial" w:hAnsi="Arial" w:cs="Arial"/>
        </w:rPr>
        <w:t>vista dos Tribunais, 2003, p. 63.</w:t>
      </w:r>
    </w:p>
  </w:footnote>
  <w:footnote w:id="102">
    <w:p w:rsidR="00E563F1" w:rsidRPr="00453BC4" w:rsidRDefault="00E563F1" w:rsidP="00B55564">
      <w:pPr>
        <w:autoSpaceDE w:val="0"/>
        <w:autoSpaceDN w:val="0"/>
        <w:adjustRightInd w:val="0"/>
        <w:spacing w:line="240" w:lineRule="auto"/>
        <w:jc w:val="both"/>
        <w:rPr>
          <w:rFonts w:ascii="Arial" w:hAnsi="Arial" w:cs="Arial"/>
          <w:sz w:val="24"/>
          <w:szCs w:val="24"/>
        </w:rPr>
      </w:pPr>
      <w:r w:rsidRPr="00EC182B">
        <w:rPr>
          <w:rStyle w:val="Refdenotaderodap"/>
          <w:rFonts w:ascii="Arial" w:hAnsi="Arial" w:cs="Arial"/>
          <w:sz w:val="20"/>
          <w:szCs w:val="20"/>
        </w:rPr>
        <w:footnoteRef/>
      </w:r>
      <w:r w:rsidRPr="00EC182B">
        <w:rPr>
          <w:rFonts w:ascii="Arial" w:hAnsi="Arial" w:cs="Arial"/>
          <w:sz w:val="20"/>
          <w:szCs w:val="20"/>
        </w:rPr>
        <w:t xml:space="preserve"> De acordo com João Batista Nunes, à norma em debate deve ser aplicada a máxima “</w:t>
      </w:r>
      <w:r w:rsidRPr="00EC182B">
        <w:rPr>
          <w:rFonts w:ascii="Arial" w:hAnsi="Arial" w:cs="Arial"/>
          <w:i/>
          <w:sz w:val="20"/>
          <w:szCs w:val="20"/>
        </w:rPr>
        <w:t>in claris cessat interpretatio</w:t>
      </w:r>
      <w:r w:rsidRPr="00EC182B">
        <w:rPr>
          <w:rFonts w:ascii="Arial" w:hAnsi="Arial" w:cs="Arial"/>
          <w:sz w:val="20"/>
          <w:szCs w:val="20"/>
        </w:rPr>
        <w:t xml:space="preserve">” (NUNES, João Batista. </w:t>
      </w:r>
      <w:r w:rsidRPr="00EC182B">
        <w:rPr>
          <w:rFonts w:ascii="Arial" w:hAnsi="Arial" w:cs="Arial"/>
          <w:b/>
          <w:sz w:val="20"/>
          <w:szCs w:val="20"/>
        </w:rPr>
        <w:t xml:space="preserve">Família e sucessões: reflexos atuais. </w:t>
      </w:r>
      <w:r w:rsidRPr="00EC182B">
        <w:rPr>
          <w:rFonts w:ascii="Arial" w:hAnsi="Arial" w:cs="Arial"/>
          <w:sz w:val="20"/>
          <w:szCs w:val="20"/>
        </w:rPr>
        <w:t>Curitiba: Juruá, 2009, p. 374). Na atualidade, no entanto, há que se duvidar da possibilidade de aplicação do referido aforismo latim, uma vez que, na tarefa de interpretação da lei, está a perquirição de valor (determinação de força e alcance), conforme defendera Roberto de Ruggiero: “</w:t>
      </w:r>
      <w:r w:rsidRPr="00CD54AE">
        <w:rPr>
          <w:rFonts w:ascii="Arial" w:hAnsi="Arial" w:cs="Arial"/>
          <w:sz w:val="20"/>
          <w:szCs w:val="20"/>
        </w:rPr>
        <w:t>o que investe o intérprete de uma função social de alto coturno, tanto mais quanto esta tarefa procura delimitar a extensão das relações oriundas da disposição examinada e interpretada.”</w:t>
      </w:r>
      <w:r>
        <w:rPr>
          <w:rFonts w:ascii="Arial" w:hAnsi="Arial" w:cs="Arial"/>
          <w:sz w:val="20"/>
          <w:szCs w:val="20"/>
        </w:rPr>
        <w:t xml:space="preserve"> </w:t>
      </w:r>
      <w:r w:rsidRPr="001E122C">
        <w:rPr>
          <w:rFonts w:ascii="Arial" w:hAnsi="Arial" w:cs="Arial"/>
          <w:sz w:val="20"/>
          <w:szCs w:val="20"/>
        </w:rPr>
        <w:t xml:space="preserve">(CARREIRO, C. H. Porto. </w:t>
      </w:r>
      <w:r w:rsidRPr="001E122C">
        <w:rPr>
          <w:rFonts w:ascii="Arial" w:hAnsi="Arial" w:cs="Arial"/>
          <w:b/>
          <w:sz w:val="20"/>
          <w:szCs w:val="20"/>
        </w:rPr>
        <w:t>A prática do direito.</w:t>
      </w:r>
      <w:r w:rsidRPr="001E122C">
        <w:rPr>
          <w:rFonts w:ascii="Arial" w:hAnsi="Arial" w:cs="Arial"/>
          <w:sz w:val="20"/>
          <w:szCs w:val="20"/>
        </w:rPr>
        <w:t xml:space="preserve"> In: Introdução à ciência do direito. Rio de Janeiro: Editora Rio, 1976. p. </w:t>
      </w:r>
      <w:r>
        <w:rPr>
          <w:rFonts w:ascii="Arial" w:hAnsi="Arial" w:cs="Arial"/>
          <w:sz w:val="20"/>
          <w:szCs w:val="20"/>
        </w:rPr>
        <w:t>222. In</w:t>
      </w:r>
      <w:r w:rsidRPr="00ED30F3">
        <w:rPr>
          <w:rFonts w:ascii="Arial" w:hAnsi="Arial" w:cs="Arial"/>
          <w:sz w:val="20"/>
          <w:szCs w:val="20"/>
        </w:rPr>
        <w:t xml:space="preserve">: MEDEIROS, Morton Luiz Faria de. A clareza </w:t>
      </w:r>
      <w:r w:rsidRPr="00453BC4">
        <w:rPr>
          <w:rFonts w:ascii="Arial" w:hAnsi="Arial" w:cs="Arial"/>
          <w:sz w:val="20"/>
          <w:szCs w:val="20"/>
        </w:rPr>
        <w:t xml:space="preserve">da lei e a necessidade de o juiz interpretá-la. </w:t>
      </w:r>
      <w:r w:rsidRPr="00453BC4">
        <w:rPr>
          <w:rFonts w:ascii="Arial" w:hAnsi="Arial" w:cs="Arial"/>
          <w:b/>
          <w:sz w:val="20"/>
          <w:szCs w:val="20"/>
          <w:shd w:val="clear" w:color="auto" w:fill="FFFFFF"/>
        </w:rPr>
        <w:t>Revista de informação legislativa</w:t>
      </w:r>
      <w:r w:rsidRPr="00453BC4">
        <w:rPr>
          <w:rFonts w:ascii="Arial" w:hAnsi="Arial" w:cs="Arial"/>
          <w:sz w:val="20"/>
          <w:szCs w:val="20"/>
          <w:shd w:val="clear" w:color="auto" w:fill="FFFFFF"/>
        </w:rPr>
        <w:t>, v. 37, n. 146, p. 185-194, abr./jun. 2000</w:t>
      </w:r>
      <w:r w:rsidRPr="00453BC4">
        <w:rPr>
          <w:rFonts w:ascii="Arial" w:hAnsi="Arial" w:cs="Arial"/>
          <w:b/>
          <w:sz w:val="20"/>
          <w:szCs w:val="20"/>
        </w:rPr>
        <w:t>.</w:t>
      </w:r>
      <w:r w:rsidRPr="00453BC4">
        <w:rPr>
          <w:rFonts w:ascii="Arial" w:hAnsi="Arial" w:cs="Arial"/>
          <w:sz w:val="20"/>
          <w:szCs w:val="20"/>
        </w:rPr>
        <w:t xml:space="preserve"> Disponível em: &lt;</w:t>
      </w:r>
      <w:hyperlink r:id="rId11" w:history="1">
        <w:r w:rsidRPr="00453BC4">
          <w:rPr>
            <w:rStyle w:val="Hyperlink"/>
            <w:rFonts w:ascii="Arial" w:hAnsi="Arial" w:cs="Arial"/>
            <w:color w:val="auto"/>
            <w:sz w:val="20"/>
            <w:szCs w:val="20"/>
            <w:u w:val="none"/>
            <w:shd w:val="clear" w:color="auto" w:fill="FFFFFF"/>
          </w:rPr>
          <w:t>http://www2.senado.leg.br/bdsf/handle/id/589</w:t>
        </w:r>
      </w:hyperlink>
      <w:r w:rsidRPr="00453BC4">
        <w:rPr>
          <w:rFonts w:ascii="Arial" w:hAnsi="Arial" w:cs="Arial"/>
          <w:sz w:val="20"/>
          <w:szCs w:val="20"/>
        </w:rPr>
        <w:t>&gt;. Acesso em 04 nov. 2019. Ainda, sobre a suposta imparcialidade e neutralidade na interpretaç</w:t>
      </w:r>
      <w:r>
        <w:rPr>
          <w:rFonts w:ascii="Arial" w:hAnsi="Arial" w:cs="Arial"/>
          <w:sz w:val="20"/>
          <w:szCs w:val="20"/>
        </w:rPr>
        <w:t>ão da norma, Luí</w:t>
      </w:r>
      <w:r w:rsidRPr="00453BC4">
        <w:rPr>
          <w:rFonts w:ascii="Arial" w:hAnsi="Arial" w:cs="Arial"/>
          <w:sz w:val="20"/>
          <w:szCs w:val="20"/>
        </w:rPr>
        <w:t>s Roberto Barroso consigna que “a neutralidade pode ser perversa quando estão em jogo os interesses de partes política, social e economicamente</w:t>
      </w:r>
      <w:r>
        <w:rPr>
          <w:rFonts w:ascii="Arial" w:hAnsi="Arial" w:cs="Arial"/>
          <w:sz w:val="20"/>
          <w:szCs w:val="20"/>
        </w:rPr>
        <w:t xml:space="preserve"> desiguais”.</w:t>
      </w:r>
      <w:r w:rsidRPr="00453BC4">
        <w:t xml:space="preserve"> </w:t>
      </w:r>
      <w:r w:rsidRPr="00453BC4">
        <w:rPr>
          <w:rFonts w:ascii="Arial" w:hAnsi="Arial" w:cs="Arial"/>
          <w:sz w:val="20"/>
          <w:szCs w:val="20"/>
        </w:rPr>
        <w:t xml:space="preserve">BARROSO, Luís Roberto. </w:t>
      </w:r>
      <w:r w:rsidRPr="00453BC4">
        <w:rPr>
          <w:rFonts w:ascii="Arial" w:hAnsi="Arial" w:cs="Arial"/>
          <w:b/>
          <w:sz w:val="20"/>
          <w:szCs w:val="20"/>
        </w:rPr>
        <w:t>Saber jurídico convencional, teoria crítica do direito e direito alternativo. A síntese necessária</w:t>
      </w:r>
      <w:r w:rsidRPr="00453BC4">
        <w:rPr>
          <w:rFonts w:ascii="Arial" w:hAnsi="Arial" w:cs="Arial"/>
          <w:sz w:val="20"/>
          <w:szCs w:val="20"/>
        </w:rPr>
        <w:t>. In: Interpretação e aplicação na constituição. São Paulo: Saraiva, 1996. p. 253</w:t>
      </w:r>
      <w:r>
        <w:rPr>
          <w:rFonts w:ascii="Arial" w:hAnsi="Arial" w:cs="Arial"/>
          <w:sz w:val="20"/>
          <w:szCs w:val="20"/>
        </w:rPr>
        <w:t>.</w:t>
      </w:r>
    </w:p>
  </w:footnote>
  <w:footnote w:id="103">
    <w:p w:rsidR="00E563F1" w:rsidRPr="0036797E" w:rsidRDefault="00E563F1" w:rsidP="0036797E">
      <w:pPr>
        <w:pStyle w:val="Textodenotaderodap"/>
        <w:jc w:val="both"/>
        <w:rPr>
          <w:rFonts w:ascii="Arial" w:hAnsi="Arial" w:cs="Arial"/>
        </w:rPr>
      </w:pPr>
      <w:r w:rsidRPr="002B005B">
        <w:rPr>
          <w:rStyle w:val="Refdenotaderodap"/>
          <w:rFonts w:ascii="Arial" w:hAnsi="Arial" w:cs="Arial"/>
        </w:rPr>
        <w:footnoteRef/>
      </w:r>
      <w:r w:rsidRPr="002B005B">
        <w:rPr>
          <w:rFonts w:ascii="Arial" w:hAnsi="Arial" w:cs="Arial"/>
        </w:rPr>
        <w:t xml:space="preserve"> </w:t>
      </w:r>
      <w:r>
        <w:rPr>
          <w:rFonts w:ascii="Arial" w:hAnsi="Arial" w:cs="Arial"/>
        </w:rPr>
        <w:t xml:space="preserve">NUNES, João Batista. </w:t>
      </w:r>
      <w:r w:rsidRPr="00722BDE">
        <w:rPr>
          <w:rFonts w:ascii="Arial" w:hAnsi="Arial" w:cs="Arial"/>
          <w:b/>
        </w:rPr>
        <w:t xml:space="preserve">Família e sucessões: reflexos atuais. </w:t>
      </w:r>
      <w:r>
        <w:rPr>
          <w:rFonts w:ascii="Arial" w:hAnsi="Arial" w:cs="Arial"/>
        </w:rPr>
        <w:t>Curitiba: Juruá, 2009, p. 375.</w:t>
      </w:r>
    </w:p>
  </w:footnote>
  <w:footnote w:id="104">
    <w:p w:rsidR="00E563F1" w:rsidRPr="00A5779E" w:rsidRDefault="00E563F1" w:rsidP="00A5779E">
      <w:pPr>
        <w:tabs>
          <w:tab w:val="left" w:pos="4830"/>
        </w:tabs>
        <w:spacing w:line="240" w:lineRule="auto"/>
        <w:jc w:val="both"/>
        <w:rPr>
          <w:rFonts w:ascii="Arial" w:hAnsi="Arial" w:cs="Arial"/>
          <w:sz w:val="20"/>
          <w:szCs w:val="20"/>
        </w:rPr>
      </w:pPr>
      <w:r w:rsidRPr="00A5779E">
        <w:rPr>
          <w:rStyle w:val="Refdenotaderodap"/>
          <w:rFonts w:ascii="Arial" w:hAnsi="Arial" w:cs="Arial"/>
          <w:sz w:val="20"/>
          <w:szCs w:val="20"/>
        </w:rPr>
        <w:footnoteRef/>
      </w:r>
      <w:r w:rsidRPr="00A5779E">
        <w:rPr>
          <w:rFonts w:ascii="Arial" w:hAnsi="Arial" w:cs="Arial"/>
          <w:sz w:val="20"/>
          <w:szCs w:val="20"/>
        </w:rPr>
        <w:t xml:space="preserve"> </w:t>
      </w:r>
      <w:r w:rsidRPr="004268E6">
        <w:rPr>
          <w:rFonts w:ascii="Arial" w:hAnsi="Arial" w:cs="Arial"/>
          <w:sz w:val="20"/>
          <w:szCs w:val="20"/>
        </w:rPr>
        <w:t>BRASIL, Lei nº. 10.406/02.</w:t>
      </w:r>
      <w:r>
        <w:rPr>
          <w:rFonts w:ascii="Arial" w:hAnsi="Arial" w:cs="Arial"/>
          <w:sz w:val="20"/>
          <w:szCs w:val="20"/>
        </w:rPr>
        <w:t xml:space="preserve"> </w:t>
      </w:r>
      <w:r w:rsidRPr="00A5779E">
        <w:rPr>
          <w:rFonts w:ascii="Arial" w:hAnsi="Arial" w:cs="Arial"/>
          <w:sz w:val="20"/>
          <w:szCs w:val="20"/>
        </w:rPr>
        <w:t>Art. 1.640: “Poderão os nubentes, no processo de habilitação, optar por qualquer dos regimes que este Código regula. Quanto à forma, reduzir-se-á a termo a opção pela comunhão parcial, fazendo-se o pacto antenupcial por escritura pública, nas demais escolhas”.</w:t>
      </w:r>
    </w:p>
  </w:footnote>
  <w:footnote w:id="105">
    <w:p w:rsidR="00E563F1" w:rsidRPr="003B5084" w:rsidRDefault="00E563F1" w:rsidP="003B5084">
      <w:pPr>
        <w:pStyle w:val="Textodenotaderodap"/>
        <w:jc w:val="both"/>
      </w:pPr>
      <w:r w:rsidRPr="003B5084">
        <w:rPr>
          <w:rStyle w:val="Refdenotaderodap"/>
          <w:rFonts w:ascii="Arial" w:hAnsi="Arial" w:cs="Arial"/>
        </w:rPr>
        <w:footnoteRef/>
      </w:r>
      <w:r w:rsidRPr="003B5084">
        <w:rPr>
          <w:rFonts w:ascii="Arial" w:hAnsi="Arial" w:cs="Arial"/>
        </w:rPr>
        <w:t xml:space="preserve"> Não se olvida, aqui, que ambos são regidos por capítulos distintos do Código Civil, tratando-se, portanto, de institutos diversos que exigem regras pr</w:t>
      </w:r>
      <w:r>
        <w:rPr>
          <w:rFonts w:ascii="Arial" w:hAnsi="Arial" w:cs="Arial"/>
        </w:rPr>
        <w:t>óprias. (</w:t>
      </w:r>
      <w:r w:rsidRPr="00B131D2">
        <w:rPr>
          <w:rFonts w:ascii="Arial" w:hAnsi="Arial" w:cs="Arial"/>
        </w:rPr>
        <w:t xml:space="preserve">TARTUCE, Flávio. </w:t>
      </w:r>
      <w:r w:rsidRPr="00B131D2">
        <w:rPr>
          <w:rFonts w:ascii="Arial" w:hAnsi="Arial" w:cs="Arial"/>
          <w:b/>
          <w:iCs/>
        </w:rPr>
        <w:t>Direito Ci</w:t>
      </w:r>
      <w:r w:rsidRPr="00912321">
        <w:rPr>
          <w:rFonts w:ascii="Arial" w:hAnsi="Arial" w:cs="Arial"/>
          <w:b/>
          <w:iCs/>
        </w:rPr>
        <w:t>vil: direito das sucessões</w:t>
      </w:r>
      <w:r>
        <w:rPr>
          <w:rFonts w:ascii="Arial" w:hAnsi="Arial" w:cs="Arial"/>
        </w:rPr>
        <w:t>. Vol. 6.</w:t>
      </w:r>
      <w:r w:rsidRPr="00912321">
        <w:rPr>
          <w:rFonts w:ascii="Arial" w:hAnsi="Arial" w:cs="Arial"/>
        </w:rPr>
        <w:t xml:space="preserve"> 6ª ed. São P</w:t>
      </w:r>
      <w:r>
        <w:rPr>
          <w:rFonts w:ascii="Arial" w:hAnsi="Arial" w:cs="Arial"/>
        </w:rPr>
        <w:t>aulo: Método, 2013, p. 165).</w:t>
      </w:r>
    </w:p>
  </w:footnote>
  <w:footnote w:id="106">
    <w:p w:rsidR="00E563F1" w:rsidRPr="00250AD6" w:rsidRDefault="00E563F1" w:rsidP="00250AD6">
      <w:pPr>
        <w:pStyle w:val="Textodenotaderodap"/>
        <w:jc w:val="both"/>
        <w:rPr>
          <w:rFonts w:ascii="Arial" w:hAnsi="Arial" w:cs="Arial"/>
        </w:rPr>
      </w:pPr>
      <w:r w:rsidRPr="00250AD6">
        <w:rPr>
          <w:rStyle w:val="Refdenotaderodap"/>
          <w:rFonts w:ascii="Arial" w:hAnsi="Arial" w:cs="Arial"/>
        </w:rPr>
        <w:footnoteRef/>
      </w:r>
      <w:r w:rsidRPr="00250AD6">
        <w:rPr>
          <w:rFonts w:ascii="Arial" w:hAnsi="Arial" w:cs="Arial"/>
        </w:rPr>
        <w:t xml:space="preserve"> A falta de congruência da lei torna-se mais evidente ao se atentar que, no regime convencional da separação, em que um cônjuge não é herdeiro do outro, o sobrevivente é brindado com o direito de concorrer com os sucessores.</w:t>
      </w:r>
      <w:r>
        <w:rPr>
          <w:rFonts w:ascii="Arial" w:hAnsi="Arial" w:cs="Arial"/>
        </w:rPr>
        <w:t xml:space="preserve"> (</w:t>
      </w:r>
      <w:r w:rsidRPr="0000471A">
        <w:rPr>
          <w:rFonts w:ascii="Arial" w:hAnsi="Arial" w:cs="Arial"/>
        </w:rPr>
        <w:t>BERENICE DIAS, Maria.</w:t>
      </w:r>
      <w:r w:rsidRPr="0000471A">
        <w:rPr>
          <w:rFonts w:ascii="Arial" w:hAnsi="Arial" w:cs="Arial"/>
          <w:b/>
        </w:rPr>
        <w:t xml:space="preserve"> Filhos, bens e amor não combinam! ou A concorrência sucessória</w:t>
      </w:r>
      <w:r w:rsidRPr="0000471A">
        <w:rPr>
          <w:rFonts w:ascii="Arial" w:hAnsi="Arial" w:cs="Arial"/>
        </w:rPr>
        <w:t>. Disponível em &lt;</w:t>
      </w:r>
      <w:hyperlink r:id="rId12" w:history="1">
        <w:r w:rsidRPr="0000471A">
          <w:rPr>
            <w:rStyle w:val="Hyperlink"/>
            <w:rFonts w:ascii="Arial" w:hAnsi="Arial" w:cs="Arial"/>
            <w:color w:val="auto"/>
            <w:u w:val="none"/>
          </w:rPr>
          <w:t>http://mariaberenice.com.br/uploads/3_-_filhos_bens_e_amor_n%E3o_combinam.pdf</w:t>
        </w:r>
      </w:hyperlink>
      <w:r w:rsidRPr="0000471A">
        <w:rPr>
          <w:rFonts w:ascii="Arial" w:hAnsi="Arial" w:cs="Arial"/>
        </w:rPr>
        <w:t xml:space="preserve">&gt;; Acesso em: </w:t>
      </w:r>
      <w:r>
        <w:rPr>
          <w:rFonts w:ascii="Arial" w:hAnsi="Arial" w:cs="Arial"/>
        </w:rPr>
        <w:t>04 nov.</w:t>
      </w:r>
      <w:r w:rsidRPr="0000471A">
        <w:rPr>
          <w:rFonts w:ascii="Arial" w:hAnsi="Arial" w:cs="Arial"/>
        </w:rPr>
        <w:t xml:space="preserve"> 2019</w:t>
      </w:r>
      <w:r>
        <w:rPr>
          <w:rFonts w:ascii="Arial" w:hAnsi="Arial" w:cs="Arial"/>
        </w:rPr>
        <w:t>).</w:t>
      </w:r>
    </w:p>
  </w:footnote>
  <w:footnote w:id="107">
    <w:p w:rsidR="00E563F1" w:rsidRPr="00773C89" w:rsidRDefault="00E563F1" w:rsidP="00773C89">
      <w:pPr>
        <w:autoSpaceDE w:val="0"/>
        <w:autoSpaceDN w:val="0"/>
        <w:adjustRightInd w:val="0"/>
        <w:spacing w:line="240" w:lineRule="auto"/>
        <w:jc w:val="both"/>
        <w:rPr>
          <w:rFonts w:ascii="Arial" w:hAnsi="Arial" w:cs="Arial"/>
          <w:sz w:val="20"/>
          <w:szCs w:val="20"/>
        </w:rPr>
      </w:pPr>
      <w:r w:rsidRPr="00A211B8">
        <w:rPr>
          <w:rStyle w:val="Refdenotaderodap"/>
          <w:rFonts w:ascii="Arial" w:hAnsi="Arial" w:cs="Arial"/>
          <w:sz w:val="20"/>
          <w:szCs w:val="20"/>
        </w:rPr>
        <w:footnoteRef/>
      </w:r>
      <w:r w:rsidRPr="00A211B8">
        <w:rPr>
          <w:rFonts w:ascii="Arial" w:hAnsi="Arial" w:cs="Arial"/>
          <w:sz w:val="20"/>
          <w:szCs w:val="20"/>
        </w:rPr>
        <w:t xml:space="preserve"> </w:t>
      </w:r>
      <w:r>
        <w:rPr>
          <w:rFonts w:ascii="Arial" w:hAnsi="Arial" w:cs="Arial"/>
          <w:sz w:val="20"/>
          <w:szCs w:val="20"/>
        </w:rPr>
        <w:t>Sobre o tema, Mauro Antonini retrata a possibilidade</w:t>
      </w:r>
      <w:r w:rsidRPr="00A211B8">
        <w:rPr>
          <w:rFonts w:ascii="Arial" w:hAnsi="Arial" w:cs="Arial"/>
          <w:sz w:val="20"/>
          <w:szCs w:val="20"/>
        </w:rPr>
        <w:t xml:space="preserve"> </w:t>
      </w:r>
      <w:r w:rsidRPr="00A211B8">
        <w:rPr>
          <w:rFonts w:ascii="Arial" w:hAnsi="Arial" w:cs="Arial"/>
          <w:i/>
          <w:sz w:val="20"/>
          <w:szCs w:val="20"/>
        </w:rPr>
        <w:t>de cujus</w:t>
      </w:r>
      <w:r w:rsidRPr="00A211B8">
        <w:rPr>
          <w:rFonts w:ascii="Arial" w:hAnsi="Arial" w:cs="Arial"/>
          <w:sz w:val="20"/>
          <w:szCs w:val="20"/>
        </w:rPr>
        <w:t xml:space="preserve"> ter preferido o regime da separação convencional de bens a fim de proteger a herança da prole. Isso porque, se por um lado a Lei, sob o viés da doutrina majoritária, concede maior proteção ao viúvo casado sob o regime de separação convencional de bens, por outro, arrefece a participação dos descendentes</w:t>
      </w:r>
      <w:r>
        <w:rPr>
          <w:rFonts w:ascii="Arial" w:hAnsi="Arial" w:cs="Arial"/>
          <w:sz w:val="20"/>
          <w:szCs w:val="20"/>
        </w:rPr>
        <w:t xml:space="preserve"> </w:t>
      </w:r>
      <w:r w:rsidRPr="009828B6">
        <w:rPr>
          <w:rFonts w:ascii="Arial" w:hAnsi="Arial" w:cs="Arial"/>
          <w:sz w:val="20"/>
          <w:szCs w:val="20"/>
        </w:rPr>
        <w:t>(</w:t>
      </w:r>
      <w:r w:rsidRPr="009828B6">
        <w:rPr>
          <w:rFonts w:ascii="Arial" w:hAnsi="Arial" w:cs="Arial"/>
          <w:iCs/>
          <w:color w:val="000000"/>
          <w:sz w:val="20"/>
          <w:szCs w:val="20"/>
        </w:rPr>
        <w:t>PELUZO, Cezar (org.)</w:t>
      </w:r>
      <w:r>
        <w:rPr>
          <w:rFonts w:ascii="Arial" w:hAnsi="Arial" w:cs="Arial"/>
          <w:iCs/>
          <w:color w:val="000000"/>
          <w:sz w:val="20"/>
          <w:szCs w:val="20"/>
        </w:rPr>
        <w:t xml:space="preserve"> </w:t>
      </w:r>
      <w:r w:rsidRPr="009828B6">
        <w:rPr>
          <w:rFonts w:ascii="Arial" w:hAnsi="Arial" w:cs="Arial"/>
          <w:b/>
          <w:iCs/>
          <w:color w:val="000000"/>
          <w:sz w:val="20"/>
          <w:szCs w:val="20"/>
        </w:rPr>
        <w:t>Código Civil Comentado</w:t>
      </w:r>
      <w:r w:rsidRPr="009828B6">
        <w:rPr>
          <w:rFonts w:ascii="Arial" w:hAnsi="Arial" w:cs="Arial"/>
          <w:iCs/>
          <w:color w:val="000000"/>
          <w:sz w:val="20"/>
          <w:szCs w:val="20"/>
        </w:rPr>
        <w:t xml:space="preserve"> </w:t>
      </w:r>
      <w:r w:rsidRPr="009828B6">
        <w:rPr>
          <w:rFonts w:ascii="Arial" w:hAnsi="Arial" w:cs="Arial"/>
          <w:b/>
          <w:iCs/>
          <w:color w:val="000000"/>
          <w:sz w:val="20"/>
          <w:szCs w:val="20"/>
        </w:rPr>
        <w:t xml:space="preserve">– Doutrina </w:t>
      </w:r>
      <w:r w:rsidRPr="009828B6">
        <w:rPr>
          <w:rFonts w:ascii="Arial" w:hAnsi="Arial" w:cs="Arial"/>
          <w:b/>
          <w:iCs/>
          <w:sz w:val="20"/>
          <w:szCs w:val="20"/>
        </w:rPr>
        <w:t>e Jurisprudência.</w:t>
      </w:r>
      <w:r w:rsidRPr="009828B6">
        <w:rPr>
          <w:rFonts w:ascii="Arial" w:hAnsi="Arial" w:cs="Arial"/>
          <w:iCs/>
          <w:sz w:val="20"/>
          <w:szCs w:val="20"/>
        </w:rPr>
        <w:t xml:space="preserve"> Ed. Manole, São Paulo, 1ª ed., 2007, pág.</w:t>
      </w:r>
      <w:r>
        <w:rPr>
          <w:rFonts w:ascii="Arial" w:hAnsi="Arial" w:cs="Arial"/>
          <w:iCs/>
          <w:sz w:val="20"/>
          <w:szCs w:val="20"/>
        </w:rPr>
        <w:t xml:space="preserve"> 1.821</w:t>
      </w:r>
      <w:r w:rsidRPr="009828B6">
        <w:rPr>
          <w:rFonts w:ascii="Arial" w:hAnsi="Arial" w:cs="Arial"/>
          <w:iCs/>
          <w:sz w:val="20"/>
          <w:szCs w:val="20"/>
        </w:rPr>
        <w:t>).</w:t>
      </w:r>
    </w:p>
  </w:footnote>
  <w:footnote w:id="108">
    <w:p w:rsidR="00E563F1" w:rsidRPr="006B3D76" w:rsidRDefault="00E563F1" w:rsidP="006B3D76">
      <w:pPr>
        <w:pStyle w:val="Textodenotaderodap"/>
        <w:jc w:val="both"/>
        <w:rPr>
          <w:rFonts w:ascii="Arial" w:hAnsi="Arial" w:cs="Arial"/>
        </w:rPr>
      </w:pPr>
      <w:r w:rsidRPr="006B3D76">
        <w:rPr>
          <w:rStyle w:val="Refdenotaderodap"/>
          <w:rFonts w:ascii="Arial" w:hAnsi="Arial" w:cs="Arial"/>
        </w:rPr>
        <w:footnoteRef/>
      </w:r>
      <w:r w:rsidRPr="006B3D76">
        <w:rPr>
          <w:rFonts w:ascii="Arial" w:hAnsi="Arial" w:cs="Arial"/>
        </w:rPr>
        <w:t xml:space="preserve"> Sobre a incongruência da norma, Maria Berenice Dias afirma que “Tratamentos tão antagônicos e paradoxais não permitem identificar a lógica que norteou a casuística limitação levada a efeito pelo legislador. Quando se depara com situações que refogem à razão, não se conseguindo chegar a uma interpretação que se conforme com a justiça, há que reconhecer que deixou o codificador de atender ao princípio da razoabilidade, diretriz constitucional que cada vez mais vem sendo invocada para subtrair eficácia a leis que afrontam os princípios prevalentes do sistema jurídico. São a igualdade e a liberdade, que sustentam o dogma maior de respeito à dignidade humana. (...) Também nítida é a afronta ao princípio da liberdade ao se facultar a escolha do regime de bens e introduzir modificações que desconfiguram a natureza do instituto e alteram a vontade dos cônjuges. Desarrazoado não disponibilizar a alguém qualquer possibilidade de definir o destino que quer dar a seus bens.</w:t>
      </w:r>
      <w:r>
        <w:rPr>
          <w:rFonts w:ascii="Arial" w:hAnsi="Arial" w:cs="Arial"/>
        </w:rPr>
        <w:t xml:space="preserve"> (</w:t>
      </w:r>
      <w:r w:rsidRPr="0000471A">
        <w:rPr>
          <w:rFonts w:ascii="Arial" w:hAnsi="Arial" w:cs="Arial"/>
        </w:rPr>
        <w:t>BERENICE DIAS, Maria.</w:t>
      </w:r>
      <w:r w:rsidRPr="0000471A">
        <w:rPr>
          <w:rFonts w:ascii="Arial" w:hAnsi="Arial" w:cs="Arial"/>
          <w:b/>
        </w:rPr>
        <w:t xml:space="preserve"> Filhos, bens e amor não combinam! ou A concorrência sucessória</w:t>
      </w:r>
      <w:r w:rsidRPr="0000471A">
        <w:rPr>
          <w:rFonts w:ascii="Arial" w:hAnsi="Arial" w:cs="Arial"/>
        </w:rPr>
        <w:t>. Disponível em &lt;</w:t>
      </w:r>
      <w:hyperlink r:id="rId13" w:history="1">
        <w:r w:rsidRPr="0000471A">
          <w:rPr>
            <w:rStyle w:val="Hyperlink"/>
            <w:rFonts w:ascii="Arial" w:hAnsi="Arial" w:cs="Arial"/>
            <w:color w:val="auto"/>
            <w:u w:val="none"/>
          </w:rPr>
          <w:t>http://mariaberenice.com.br/uploads/3_-_filhos_bens_e_amor_n%E3o_combinam.pdf</w:t>
        </w:r>
      </w:hyperlink>
      <w:r w:rsidRPr="0000471A">
        <w:rPr>
          <w:rFonts w:ascii="Arial" w:hAnsi="Arial" w:cs="Arial"/>
        </w:rPr>
        <w:t xml:space="preserve">&gt;; Acesso em: </w:t>
      </w:r>
      <w:r>
        <w:rPr>
          <w:rFonts w:ascii="Arial" w:hAnsi="Arial" w:cs="Arial"/>
        </w:rPr>
        <w:t>04 nov.</w:t>
      </w:r>
      <w:r w:rsidRPr="0000471A">
        <w:rPr>
          <w:rFonts w:ascii="Arial" w:hAnsi="Arial" w:cs="Arial"/>
        </w:rPr>
        <w:t xml:space="preserve"> 2019</w:t>
      </w:r>
      <w:r>
        <w:rPr>
          <w:rFonts w:ascii="Arial" w:hAnsi="Arial" w:cs="Arial"/>
        </w:rPr>
        <w:t>).</w:t>
      </w:r>
    </w:p>
  </w:footnote>
  <w:footnote w:id="109">
    <w:p w:rsidR="00E563F1" w:rsidRPr="00FE634A" w:rsidRDefault="00E563F1" w:rsidP="00FE634A">
      <w:pPr>
        <w:pStyle w:val="Textodenotaderodap"/>
        <w:jc w:val="both"/>
        <w:rPr>
          <w:rFonts w:ascii="Arial" w:hAnsi="Arial" w:cs="Arial"/>
        </w:rPr>
      </w:pPr>
      <w:r w:rsidRPr="00FE634A">
        <w:rPr>
          <w:rStyle w:val="Refdenotaderodap"/>
          <w:rFonts w:ascii="Arial" w:hAnsi="Arial" w:cs="Arial"/>
        </w:rPr>
        <w:footnoteRef/>
      </w:r>
      <w:r w:rsidRPr="00FE634A">
        <w:rPr>
          <w:rFonts w:ascii="Arial" w:hAnsi="Arial" w:cs="Arial"/>
        </w:rPr>
        <w:t xml:space="preserve"> “A saída é uma só: reconhecer a inconstitucionalidade das exceções postas no inciso I do art. 1.829 do Código Civil, quiçá de todo o artigo 1.829”.</w:t>
      </w:r>
      <w:r>
        <w:rPr>
          <w:rFonts w:ascii="Arial" w:hAnsi="Arial" w:cs="Arial"/>
        </w:rPr>
        <w:t xml:space="preserve"> Ibidem.</w:t>
      </w:r>
    </w:p>
  </w:footnote>
  <w:footnote w:id="110">
    <w:p w:rsidR="00E563F1" w:rsidRPr="00C915C9" w:rsidRDefault="00E563F1" w:rsidP="00C915C9">
      <w:pPr>
        <w:autoSpaceDE w:val="0"/>
        <w:autoSpaceDN w:val="0"/>
        <w:adjustRightInd w:val="0"/>
        <w:spacing w:line="240" w:lineRule="auto"/>
        <w:jc w:val="both"/>
        <w:rPr>
          <w:rFonts w:ascii="Arial" w:hAnsi="Arial" w:cs="Arial"/>
          <w:sz w:val="20"/>
          <w:szCs w:val="20"/>
        </w:rPr>
      </w:pPr>
      <w:r w:rsidRPr="0026346E">
        <w:rPr>
          <w:rStyle w:val="Refdenotaderodap"/>
          <w:rFonts w:ascii="Arial" w:hAnsi="Arial" w:cs="Arial"/>
          <w:sz w:val="20"/>
          <w:szCs w:val="20"/>
        </w:rPr>
        <w:footnoteRef/>
      </w:r>
      <w:r w:rsidRPr="0026346E">
        <w:rPr>
          <w:rFonts w:ascii="Arial" w:hAnsi="Arial" w:cs="Arial"/>
          <w:sz w:val="20"/>
          <w:szCs w:val="20"/>
        </w:rPr>
        <w:t xml:space="preserve"> VENOSA, Silvio. </w:t>
      </w:r>
      <w:r w:rsidRPr="0026346E">
        <w:rPr>
          <w:rFonts w:ascii="Arial" w:hAnsi="Arial" w:cs="Arial"/>
          <w:b/>
          <w:sz w:val="20"/>
          <w:szCs w:val="20"/>
        </w:rPr>
        <w:t>Código Civil Interpretado</w:t>
      </w:r>
      <w:r w:rsidRPr="0026346E">
        <w:rPr>
          <w:rFonts w:ascii="Arial" w:hAnsi="Arial" w:cs="Arial"/>
          <w:sz w:val="20"/>
          <w:szCs w:val="20"/>
        </w:rPr>
        <w:t>. Ed. Atla</w:t>
      </w:r>
      <w:r>
        <w:rPr>
          <w:rFonts w:ascii="Arial" w:hAnsi="Arial" w:cs="Arial"/>
          <w:sz w:val="20"/>
          <w:szCs w:val="20"/>
        </w:rPr>
        <w:t>s, São Paulo, 2010, pág. 1.662.</w:t>
      </w:r>
    </w:p>
  </w:footnote>
  <w:footnote w:id="111">
    <w:p w:rsidR="00E563F1" w:rsidRPr="00384C18" w:rsidRDefault="00E563F1" w:rsidP="00384C18">
      <w:pPr>
        <w:autoSpaceDE w:val="0"/>
        <w:autoSpaceDN w:val="0"/>
        <w:adjustRightInd w:val="0"/>
        <w:spacing w:line="240" w:lineRule="auto"/>
        <w:jc w:val="both"/>
        <w:rPr>
          <w:rFonts w:ascii="Arial" w:hAnsi="Arial" w:cs="Arial"/>
          <w:iCs/>
          <w:color w:val="000000"/>
          <w:sz w:val="20"/>
          <w:szCs w:val="20"/>
        </w:rPr>
      </w:pPr>
      <w:r w:rsidRPr="00071118">
        <w:rPr>
          <w:rStyle w:val="Refdenotaderodap"/>
          <w:rFonts w:ascii="Arial" w:hAnsi="Arial" w:cs="Arial"/>
          <w:sz w:val="20"/>
          <w:szCs w:val="20"/>
        </w:rPr>
        <w:footnoteRef/>
      </w:r>
      <w:r w:rsidRPr="00071118">
        <w:rPr>
          <w:rFonts w:ascii="Arial" w:hAnsi="Arial" w:cs="Arial"/>
          <w:i/>
          <w:iCs/>
          <w:sz w:val="20"/>
          <w:szCs w:val="20"/>
        </w:rPr>
        <w:t xml:space="preserve"> </w:t>
      </w:r>
      <w:r w:rsidRPr="00071118">
        <w:rPr>
          <w:rFonts w:ascii="Arial" w:hAnsi="Arial" w:cs="Arial"/>
          <w:iCs/>
          <w:sz w:val="20"/>
          <w:szCs w:val="20"/>
        </w:rPr>
        <w:t xml:space="preserve">NERY JÚNIOR, Nelson </w:t>
      </w:r>
      <w:r>
        <w:rPr>
          <w:rFonts w:ascii="Arial" w:hAnsi="Arial" w:cs="Arial"/>
          <w:iCs/>
          <w:sz w:val="20"/>
          <w:szCs w:val="20"/>
        </w:rPr>
        <w:t xml:space="preserve">e NERY, Rosa Maria de Andrade. </w:t>
      </w:r>
      <w:r w:rsidRPr="00071118">
        <w:rPr>
          <w:rFonts w:ascii="Arial" w:hAnsi="Arial" w:cs="Arial"/>
          <w:b/>
          <w:iCs/>
          <w:sz w:val="20"/>
          <w:szCs w:val="20"/>
        </w:rPr>
        <w:t>Código de Processo Civil Comentado e Legislação Extravagante</w:t>
      </w:r>
      <w:r w:rsidRPr="00071118">
        <w:rPr>
          <w:rFonts w:ascii="Arial" w:hAnsi="Arial" w:cs="Arial"/>
          <w:iCs/>
          <w:sz w:val="20"/>
          <w:szCs w:val="20"/>
        </w:rPr>
        <w:t>. Ed. RT,</w:t>
      </w:r>
      <w:r>
        <w:rPr>
          <w:rFonts w:ascii="Arial" w:hAnsi="Arial" w:cs="Arial"/>
          <w:iCs/>
          <w:sz w:val="20"/>
          <w:szCs w:val="20"/>
        </w:rPr>
        <w:t xml:space="preserve"> </w:t>
      </w:r>
      <w:r w:rsidRPr="00071118">
        <w:rPr>
          <w:rFonts w:ascii="Arial" w:hAnsi="Arial" w:cs="Arial"/>
          <w:iCs/>
          <w:sz w:val="20"/>
          <w:szCs w:val="20"/>
        </w:rPr>
        <w:t>São Paulo, 3ª ed., 2005, pág. 844.</w:t>
      </w:r>
    </w:p>
  </w:footnote>
  <w:footnote w:id="112">
    <w:p w:rsidR="00E563F1" w:rsidRPr="004C6752" w:rsidRDefault="00E563F1" w:rsidP="004C6752">
      <w:pPr>
        <w:autoSpaceDE w:val="0"/>
        <w:autoSpaceDN w:val="0"/>
        <w:adjustRightInd w:val="0"/>
        <w:spacing w:line="240" w:lineRule="auto"/>
        <w:jc w:val="both"/>
        <w:rPr>
          <w:rFonts w:ascii="Arial" w:hAnsi="Arial" w:cs="Arial"/>
          <w:sz w:val="20"/>
          <w:szCs w:val="20"/>
        </w:rPr>
      </w:pPr>
      <w:r w:rsidRPr="00250AD6">
        <w:rPr>
          <w:rStyle w:val="Refdenotaderodap"/>
          <w:rFonts w:ascii="Arial" w:hAnsi="Arial" w:cs="Arial"/>
        </w:rPr>
        <w:footnoteRef/>
      </w:r>
      <w:r>
        <w:rPr>
          <w:rFonts w:ascii="Arial" w:hAnsi="Arial" w:cs="Arial"/>
          <w:iCs/>
          <w:color w:val="000000"/>
          <w:sz w:val="20"/>
          <w:szCs w:val="20"/>
        </w:rPr>
        <w:t xml:space="preserve"> </w:t>
      </w:r>
      <w:r w:rsidRPr="009828B6">
        <w:rPr>
          <w:rFonts w:ascii="Arial" w:hAnsi="Arial" w:cs="Arial"/>
          <w:iCs/>
          <w:color w:val="000000"/>
          <w:sz w:val="20"/>
          <w:szCs w:val="20"/>
        </w:rPr>
        <w:t>PELUZO, Cezar (org.)</w:t>
      </w:r>
      <w:r>
        <w:rPr>
          <w:rFonts w:ascii="Arial" w:hAnsi="Arial" w:cs="Arial"/>
          <w:iCs/>
          <w:color w:val="000000"/>
          <w:sz w:val="20"/>
          <w:szCs w:val="20"/>
        </w:rPr>
        <w:t xml:space="preserve"> </w:t>
      </w:r>
      <w:r w:rsidRPr="009828B6">
        <w:rPr>
          <w:rFonts w:ascii="Arial" w:hAnsi="Arial" w:cs="Arial"/>
          <w:b/>
          <w:iCs/>
          <w:color w:val="000000"/>
          <w:sz w:val="20"/>
          <w:szCs w:val="20"/>
        </w:rPr>
        <w:t>Código Civil Comentado</w:t>
      </w:r>
      <w:r w:rsidRPr="009828B6">
        <w:rPr>
          <w:rFonts w:ascii="Arial" w:hAnsi="Arial" w:cs="Arial"/>
          <w:iCs/>
          <w:color w:val="000000"/>
          <w:sz w:val="20"/>
          <w:szCs w:val="20"/>
        </w:rPr>
        <w:t xml:space="preserve"> </w:t>
      </w:r>
      <w:r w:rsidRPr="009828B6">
        <w:rPr>
          <w:rFonts w:ascii="Arial" w:hAnsi="Arial" w:cs="Arial"/>
          <w:b/>
          <w:iCs/>
          <w:color w:val="000000"/>
          <w:sz w:val="20"/>
          <w:szCs w:val="20"/>
        </w:rPr>
        <w:t xml:space="preserve">– Doutrina </w:t>
      </w:r>
      <w:r w:rsidRPr="009828B6">
        <w:rPr>
          <w:rFonts w:ascii="Arial" w:hAnsi="Arial" w:cs="Arial"/>
          <w:b/>
          <w:iCs/>
          <w:sz w:val="20"/>
          <w:szCs w:val="20"/>
        </w:rPr>
        <w:t>e Jurisprudência.</w:t>
      </w:r>
      <w:r w:rsidRPr="009828B6">
        <w:rPr>
          <w:rFonts w:ascii="Arial" w:hAnsi="Arial" w:cs="Arial"/>
          <w:iCs/>
          <w:sz w:val="20"/>
          <w:szCs w:val="20"/>
        </w:rPr>
        <w:t xml:space="preserve"> Ed. Manole, São </w:t>
      </w:r>
      <w:r w:rsidRPr="004C6752">
        <w:rPr>
          <w:rFonts w:ascii="Arial" w:hAnsi="Arial" w:cs="Arial"/>
          <w:iCs/>
          <w:sz w:val="20"/>
          <w:szCs w:val="20"/>
        </w:rPr>
        <w:t xml:space="preserve">Paulo, 1ª ed., 2007, pág. </w:t>
      </w:r>
      <w:r>
        <w:rPr>
          <w:rFonts w:ascii="Arial" w:hAnsi="Arial" w:cs="Arial"/>
          <w:iCs/>
          <w:sz w:val="20"/>
          <w:szCs w:val="20"/>
        </w:rPr>
        <w:t>1.822</w:t>
      </w:r>
      <w:r w:rsidRPr="004C6752">
        <w:rPr>
          <w:rFonts w:ascii="Arial" w:hAnsi="Arial" w:cs="Arial"/>
          <w:iCs/>
          <w:sz w:val="20"/>
          <w:szCs w:val="20"/>
        </w:rPr>
        <w:t>.</w:t>
      </w:r>
    </w:p>
  </w:footnote>
  <w:footnote w:id="113">
    <w:p w:rsidR="00E563F1" w:rsidRDefault="00E563F1" w:rsidP="00384C18">
      <w:pPr>
        <w:pStyle w:val="Textodenotaderodap"/>
        <w:jc w:val="both"/>
      </w:pPr>
      <w:r w:rsidRPr="004C6752">
        <w:rPr>
          <w:rStyle w:val="Refdenotaderodap"/>
          <w:rFonts w:ascii="Arial" w:hAnsi="Arial" w:cs="Arial"/>
        </w:rPr>
        <w:footnoteRef/>
      </w:r>
      <w:r w:rsidRPr="004C6752">
        <w:rPr>
          <w:rFonts w:ascii="Arial" w:hAnsi="Arial" w:cs="Arial"/>
        </w:rPr>
        <w:t xml:space="preserve"> Ibidem, p 1823.</w:t>
      </w:r>
      <w:r w:rsidRPr="004C6752">
        <w:t xml:space="preserve"> </w:t>
      </w:r>
    </w:p>
  </w:footnote>
  <w:footnote w:id="114">
    <w:p w:rsidR="007F48E1" w:rsidRPr="007F48E1" w:rsidRDefault="007F48E1" w:rsidP="007F48E1">
      <w:pPr>
        <w:pStyle w:val="Textodenotaderodap"/>
        <w:jc w:val="both"/>
        <w:rPr>
          <w:rFonts w:ascii="Arial" w:hAnsi="Arial" w:cs="Arial"/>
        </w:rPr>
      </w:pPr>
      <w:r w:rsidRPr="007F48E1">
        <w:rPr>
          <w:rStyle w:val="Refdenotaderodap"/>
          <w:rFonts w:ascii="Arial" w:hAnsi="Arial" w:cs="Arial"/>
        </w:rPr>
        <w:footnoteRef/>
      </w:r>
      <w:r w:rsidRPr="007F48E1">
        <w:rPr>
          <w:rFonts w:ascii="Arial" w:hAnsi="Arial" w:cs="Arial"/>
        </w:rPr>
        <w:t xml:space="preserve"> Nesse cariz, a professora e doutrinadora Ana Carla Harmatiuk Matos consigna que a celebração do pacto antenupcial no regime da separação convencional de bens é entendida pelo consorte, muitas vezes, como um indício de incert</w:t>
      </w:r>
      <w:r>
        <w:rPr>
          <w:rFonts w:ascii="Arial" w:hAnsi="Arial" w:cs="Arial"/>
        </w:rPr>
        <w:t xml:space="preserve">eza sobre o futuro do casamento, o que justifica a repulsa de certa parte dos casais em </w:t>
      </w:r>
      <w:r w:rsidR="00652B60">
        <w:rPr>
          <w:rFonts w:ascii="Arial" w:hAnsi="Arial" w:cs="Arial"/>
        </w:rPr>
        <w:t>estipulá</w:t>
      </w:r>
      <w:r>
        <w:rPr>
          <w:rFonts w:ascii="Arial" w:hAnsi="Arial" w:cs="Arial"/>
        </w:rPr>
        <w:t xml:space="preserve">-lo. (MATOS, Ana Carla Harmatiuk. </w:t>
      </w:r>
      <w:r>
        <w:rPr>
          <w:rFonts w:ascii="Arial" w:hAnsi="Arial" w:cs="Arial"/>
          <w:b/>
        </w:rPr>
        <w:t xml:space="preserve">São válidas as disposições patrimoniais e existenciais no pacto antenupcial? </w:t>
      </w:r>
      <w:r w:rsidRPr="0000471A">
        <w:rPr>
          <w:rFonts w:ascii="Arial" w:hAnsi="Arial" w:cs="Arial"/>
        </w:rPr>
        <w:t>Disponível em &lt;</w:t>
      </w:r>
      <w:hyperlink r:id="rId14" w:history="1">
        <w:r w:rsidRPr="00936987">
          <w:rPr>
            <w:rStyle w:val="Hyperlink"/>
            <w:rFonts w:ascii="Arial" w:hAnsi="Arial" w:cs="Arial"/>
            <w:color w:val="auto"/>
            <w:u w:val="none"/>
          </w:rPr>
          <w:t>https://rbdcivil.ibdcivil.org.br/rbdc/article/view/239/222</w:t>
        </w:r>
      </w:hyperlink>
      <w:r w:rsidRPr="0000471A">
        <w:rPr>
          <w:rFonts w:ascii="Arial" w:hAnsi="Arial" w:cs="Arial"/>
        </w:rPr>
        <w:t xml:space="preserve">&gt;; Acesso em: </w:t>
      </w:r>
      <w:r>
        <w:rPr>
          <w:rFonts w:ascii="Arial" w:hAnsi="Arial" w:cs="Arial"/>
        </w:rPr>
        <w:t>08 nov.</w:t>
      </w:r>
      <w:r w:rsidRPr="0000471A">
        <w:rPr>
          <w:rFonts w:ascii="Arial" w:hAnsi="Arial" w:cs="Arial"/>
        </w:rPr>
        <w:t xml:space="preserve"> 2019</w:t>
      </w:r>
      <w:r>
        <w:rPr>
          <w:rFonts w:ascii="Arial" w:hAnsi="Arial" w:cs="Arial"/>
        </w:rPr>
        <w:t>).</w:t>
      </w:r>
    </w:p>
  </w:footnote>
  <w:footnote w:id="115">
    <w:p w:rsidR="00E563F1" w:rsidRPr="00EA175A" w:rsidRDefault="00E563F1" w:rsidP="00EA175A">
      <w:pPr>
        <w:autoSpaceDE w:val="0"/>
        <w:autoSpaceDN w:val="0"/>
        <w:adjustRightInd w:val="0"/>
        <w:spacing w:line="240" w:lineRule="auto"/>
        <w:jc w:val="both"/>
        <w:rPr>
          <w:rFonts w:ascii="Arial" w:hAnsi="Arial" w:cs="Arial"/>
          <w:sz w:val="20"/>
          <w:szCs w:val="20"/>
        </w:rPr>
      </w:pPr>
      <w:r w:rsidRPr="00EA175A">
        <w:rPr>
          <w:rStyle w:val="Refdenotaderodap"/>
          <w:rFonts w:ascii="Arial" w:hAnsi="Arial" w:cs="Arial"/>
        </w:rPr>
        <w:footnoteRef/>
      </w:r>
      <w:r w:rsidRPr="00EA175A">
        <w:rPr>
          <w:rFonts w:ascii="Arial" w:hAnsi="Arial" w:cs="Arial"/>
        </w:rPr>
        <w:t xml:space="preserve"> </w:t>
      </w:r>
      <w:r>
        <w:rPr>
          <w:rFonts w:ascii="Arial" w:hAnsi="Arial" w:cs="Arial"/>
          <w:iCs/>
          <w:color w:val="000000"/>
          <w:sz w:val="20"/>
          <w:szCs w:val="20"/>
        </w:rPr>
        <w:t>Ibidem,</w:t>
      </w:r>
      <w:r w:rsidRPr="009828B6">
        <w:rPr>
          <w:rFonts w:ascii="Arial" w:hAnsi="Arial" w:cs="Arial"/>
          <w:iCs/>
          <w:sz w:val="20"/>
          <w:szCs w:val="20"/>
        </w:rPr>
        <w:t xml:space="preserve"> pág.</w:t>
      </w:r>
      <w:r>
        <w:rPr>
          <w:rFonts w:ascii="Arial" w:hAnsi="Arial" w:cs="Arial"/>
          <w:iCs/>
          <w:sz w:val="20"/>
          <w:szCs w:val="20"/>
        </w:rPr>
        <w:t xml:space="preserve"> 1.822</w:t>
      </w:r>
      <w:r w:rsidRPr="009828B6">
        <w:rPr>
          <w:rFonts w:ascii="Arial" w:hAnsi="Arial" w:cs="Arial"/>
          <w:iCs/>
          <w:sz w:val="20"/>
          <w:szCs w:val="20"/>
        </w:rPr>
        <w:t>.</w:t>
      </w:r>
    </w:p>
  </w:footnote>
  <w:footnote w:id="116">
    <w:p w:rsidR="00E563F1" w:rsidRPr="002C47CE" w:rsidRDefault="00E563F1" w:rsidP="002C47CE">
      <w:pPr>
        <w:pStyle w:val="Textodenotaderodap"/>
        <w:jc w:val="both"/>
        <w:rPr>
          <w:rFonts w:ascii="Arial" w:hAnsi="Arial" w:cs="Arial"/>
          <w:color w:val="000000" w:themeColor="text1"/>
        </w:rPr>
      </w:pPr>
      <w:r w:rsidRPr="002C47CE">
        <w:rPr>
          <w:rStyle w:val="Refdenotaderodap"/>
          <w:rFonts w:ascii="Arial" w:hAnsi="Arial" w:cs="Arial"/>
          <w:color w:val="000000" w:themeColor="text1"/>
        </w:rPr>
        <w:footnoteRef/>
      </w:r>
      <w:r w:rsidRPr="002C47CE">
        <w:rPr>
          <w:rFonts w:ascii="Arial" w:hAnsi="Arial" w:cs="Arial"/>
          <w:color w:val="000000" w:themeColor="text1"/>
        </w:rPr>
        <w:t xml:space="preserve"> </w:t>
      </w:r>
      <w:r>
        <w:rPr>
          <w:rFonts w:ascii="Arial" w:hAnsi="Arial" w:cs="Arial"/>
          <w:color w:val="000000" w:themeColor="text1"/>
        </w:rPr>
        <w:t xml:space="preserve">BRASIL, Lei nº. 10.406/02. </w:t>
      </w:r>
      <w:r w:rsidRPr="002C47CE">
        <w:rPr>
          <w:rFonts w:ascii="Arial" w:hAnsi="Arial" w:cs="Arial"/>
          <w:color w:val="000000" w:themeColor="text1"/>
          <w:shd w:val="clear" w:color="auto" w:fill="FFFFFF"/>
        </w:rPr>
        <w:t>Art. 426. Não pode ser objeto de contrato a herança de pessoa viva</w:t>
      </w:r>
      <w:r>
        <w:rPr>
          <w:rFonts w:ascii="Arial" w:hAnsi="Arial" w:cs="Arial"/>
          <w:color w:val="000000" w:themeColor="text1"/>
          <w:shd w:val="clear" w:color="auto" w:fill="FFFFFF"/>
        </w:rPr>
        <w:t>.</w:t>
      </w:r>
    </w:p>
  </w:footnote>
  <w:footnote w:id="117">
    <w:p w:rsidR="00E563F1" w:rsidRPr="00075A66" w:rsidRDefault="00E563F1" w:rsidP="00075A66">
      <w:pPr>
        <w:autoSpaceDE w:val="0"/>
        <w:autoSpaceDN w:val="0"/>
        <w:adjustRightInd w:val="0"/>
        <w:spacing w:line="240" w:lineRule="auto"/>
        <w:jc w:val="both"/>
        <w:rPr>
          <w:rFonts w:ascii="Arial" w:hAnsi="Arial" w:cs="Arial"/>
          <w:sz w:val="20"/>
          <w:szCs w:val="20"/>
        </w:rPr>
      </w:pPr>
      <w:r w:rsidRPr="00B70A06">
        <w:rPr>
          <w:rStyle w:val="Refdenotaderodap"/>
          <w:rFonts w:ascii="Arial" w:hAnsi="Arial" w:cs="Arial"/>
          <w:sz w:val="20"/>
          <w:szCs w:val="20"/>
        </w:rPr>
        <w:footnoteRef/>
      </w:r>
      <w:r w:rsidRPr="00B70A06">
        <w:rPr>
          <w:rFonts w:ascii="Arial" w:hAnsi="Arial" w:cs="Arial"/>
          <w:sz w:val="20"/>
          <w:szCs w:val="20"/>
        </w:rPr>
        <w:t xml:space="preserve"> </w:t>
      </w:r>
      <w:r w:rsidRPr="00B70A06">
        <w:rPr>
          <w:rFonts w:ascii="Arial" w:hAnsi="Arial" w:cs="Arial"/>
          <w:iCs/>
          <w:color w:val="000000"/>
          <w:sz w:val="20"/>
          <w:szCs w:val="20"/>
        </w:rPr>
        <w:t xml:space="preserve">MONTEIRO, Washington </w:t>
      </w:r>
      <w:r>
        <w:rPr>
          <w:rFonts w:ascii="Arial" w:hAnsi="Arial" w:cs="Arial"/>
          <w:iCs/>
          <w:color w:val="000000"/>
          <w:sz w:val="20"/>
          <w:szCs w:val="20"/>
        </w:rPr>
        <w:t xml:space="preserve">de Barros. </w:t>
      </w:r>
      <w:r w:rsidRPr="00B70A06">
        <w:rPr>
          <w:rFonts w:ascii="Arial" w:hAnsi="Arial" w:cs="Arial"/>
          <w:b/>
          <w:iCs/>
          <w:color w:val="000000"/>
          <w:sz w:val="20"/>
          <w:szCs w:val="20"/>
        </w:rPr>
        <w:t>Curso de Direito Civil.</w:t>
      </w:r>
      <w:r w:rsidRPr="00B70A06">
        <w:rPr>
          <w:rFonts w:ascii="Arial" w:hAnsi="Arial" w:cs="Arial"/>
          <w:iCs/>
          <w:color w:val="000000"/>
          <w:sz w:val="20"/>
          <w:szCs w:val="20"/>
        </w:rPr>
        <w:t xml:space="preserve"> 21 ed. São Paulo, Saraiva, 1983, v. II, p. 152</w:t>
      </w:r>
      <w:r>
        <w:rPr>
          <w:rFonts w:ascii="Arial" w:hAnsi="Arial" w:cs="Arial"/>
          <w:iCs/>
          <w:color w:val="000000"/>
          <w:sz w:val="20"/>
          <w:szCs w:val="20"/>
        </w:rPr>
        <w:t>.</w:t>
      </w:r>
    </w:p>
  </w:footnote>
  <w:footnote w:id="118">
    <w:p w:rsidR="00E563F1" w:rsidRDefault="00E563F1" w:rsidP="00075A66">
      <w:pPr>
        <w:pStyle w:val="Textodenotaderodap"/>
        <w:jc w:val="both"/>
      </w:pPr>
      <w:r w:rsidRPr="00075A66">
        <w:rPr>
          <w:rStyle w:val="Refdenotaderodap"/>
          <w:rFonts w:ascii="Arial" w:hAnsi="Arial" w:cs="Arial"/>
        </w:rPr>
        <w:footnoteRef/>
      </w:r>
      <w:r w:rsidRPr="00075A66">
        <w:rPr>
          <w:rFonts w:ascii="Arial" w:hAnsi="Arial" w:cs="Arial"/>
        </w:rPr>
        <w:t xml:space="preserve"> Ressalvada a possibilidade de o próprio titular dispor de seus bens através de testamento. Mesmo neste caso, a disposição só valerá após a ocorrência do evento “morte” e o testador poderá, até referida ocasião alterar suas disposições. </w:t>
      </w:r>
      <w:r>
        <w:rPr>
          <w:rFonts w:ascii="Arial" w:hAnsi="Arial" w:cs="Arial"/>
        </w:rPr>
        <w:t>(</w:t>
      </w:r>
      <w:r w:rsidRPr="00075A66">
        <w:rPr>
          <w:rFonts w:ascii="Arial" w:hAnsi="Arial" w:cs="Arial"/>
        </w:rPr>
        <w:t xml:space="preserve">CAHALI, Francisco José; HIRONAKA, Giselda Maria. </w:t>
      </w:r>
      <w:r w:rsidRPr="00075A66">
        <w:rPr>
          <w:rFonts w:ascii="Arial" w:hAnsi="Arial" w:cs="Arial"/>
          <w:b/>
        </w:rPr>
        <w:t>Direito das Sucessões.</w:t>
      </w:r>
      <w:r w:rsidRPr="00075A66">
        <w:rPr>
          <w:rFonts w:ascii="Arial" w:hAnsi="Arial" w:cs="Arial"/>
        </w:rPr>
        <w:t xml:space="preserve"> 5ª ed. rev. São Paulo: Editora Revista dos Tribunais, 2014, p. 41</w:t>
      </w:r>
      <w:r>
        <w:rPr>
          <w:rFonts w:ascii="Arial" w:hAnsi="Arial" w:cs="Arial"/>
        </w:rPr>
        <w:t>)</w:t>
      </w:r>
      <w:r w:rsidRPr="00075A66">
        <w:rPr>
          <w:rFonts w:ascii="Arial" w:hAnsi="Arial" w:cs="Arial"/>
        </w:rPr>
        <w:t>.</w:t>
      </w:r>
    </w:p>
  </w:footnote>
  <w:footnote w:id="119">
    <w:p w:rsidR="00E563F1" w:rsidRPr="00B904F4" w:rsidRDefault="00E563F1" w:rsidP="00B904F4">
      <w:pPr>
        <w:pStyle w:val="Textodenotaderodap"/>
        <w:jc w:val="both"/>
        <w:rPr>
          <w:rFonts w:ascii="Arial" w:hAnsi="Arial" w:cs="Arial"/>
        </w:rPr>
      </w:pPr>
      <w:r w:rsidRPr="00B904F4">
        <w:rPr>
          <w:rStyle w:val="Refdenotaderodap"/>
          <w:rFonts w:ascii="Arial" w:hAnsi="Arial" w:cs="Arial"/>
        </w:rPr>
        <w:footnoteRef/>
      </w:r>
      <w:r w:rsidRPr="00B904F4">
        <w:rPr>
          <w:rFonts w:ascii="Arial" w:hAnsi="Arial" w:cs="Arial"/>
        </w:rPr>
        <w:t xml:space="preserve"> SIMÃO, José Fernando. </w:t>
      </w:r>
      <w:r w:rsidRPr="00B904F4">
        <w:rPr>
          <w:rFonts w:ascii="Arial" w:hAnsi="Arial" w:cs="Arial"/>
          <w:color w:val="000000"/>
        </w:rPr>
        <w:t>Repensando a noção de pact</w:t>
      </w:r>
      <w:r w:rsidRPr="00B904F4">
        <w:rPr>
          <w:rFonts w:ascii="Arial" w:hAnsi="Arial" w:cs="Arial"/>
          <w:bCs/>
          <w:color w:val="000000"/>
        </w:rPr>
        <w:t xml:space="preserve">o sucessório: de "lege ferenda". </w:t>
      </w:r>
      <w:r w:rsidRPr="004D5C94">
        <w:rPr>
          <w:rFonts w:ascii="Arial" w:hAnsi="Arial" w:cs="Arial"/>
          <w:b/>
          <w:bCs/>
          <w:color w:val="000000"/>
        </w:rPr>
        <w:t xml:space="preserve">Jornal Carta Forense. </w:t>
      </w:r>
      <w:r w:rsidRPr="00B904F4">
        <w:rPr>
          <w:rFonts w:ascii="Arial" w:hAnsi="Arial" w:cs="Arial"/>
        </w:rPr>
        <w:t xml:space="preserve">Disponível em: </w:t>
      </w:r>
      <w:r w:rsidRPr="00B904F4">
        <w:rPr>
          <w:rFonts w:ascii="Arial" w:hAnsi="Arial" w:cs="Arial"/>
          <w:color w:val="000000" w:themeColor="text1"/>
        </w:rPr>
        <w:t>&lt;</w:t>
      </w:r>
      <w:hyperlink r:id="rId15" w:history="1">
        <w:r w:rsidRPr="00B904F4">
          <w:rPr>
            <w:rStyle w:val="Hyperlink"/>
            <w:rFonts w:ascii="Arial" w:hAnsi="Arial" w:cs="Arial"/>
            <w:color w:val="000000" w:themeColor="text1"/>
            <w:u w:val="none"/>
          </w:rPr>
          <w:t>http://www.cartaforense.com.br/conteudo/colunas/repensando-a-nocao-de-pacto-sucessorio-de-lege-ferenda/17320</w:t>
        </w:r>
      </w:hyperlink>
      <w:r w:rsidRPr="00B904F4">
        <w:rPr>
          <w:rFonts w:ascii="Arial" w:hAnsi="Arial" w:cs="Arial"/>
          <w:color w:val="000000" w:themeColor="text1"/>
        </w:rPr>
        <w:t xml:space="preserve">&gt;. </w:t>
      </w:r>
      <w:r w:rsidRPr="00B904F4">
        <w:rPr>
          <w:rFonts w:ascii="Arial" w:hAnsi="Arial" w:cs="Arial"/>
        </w:rPr>
        <w:t>Acesso em 04 nov. 2019.</w:t>
      </w:r>
    </w:p>
  </w:footnote>
  <w:footnote w:id="120">
    <w:p w:rsidR="00E563F1" w:rsidRPr="003F13E8" w:rsidRDefault="00E563F1" w:rsidP="004538F8">
      <w:pPr>
        <w:autoSpaceDE w:val="0"/>
        <w:autoSpaceDN w:val="0"/>
        <w:adjustRightInd w:val="0"/>
        <w:spacing w:line="240" w:lineRule="auto"/>
        <w:jc w:val="both"/>
        <w:rPr>
          <w:color w:val="000000" w:themeColor="text1"/>
          <w:sz w:val="20"/>
          <w:szCs w:val="20"/>
        </w:rPr>
      </w:pPr>
      <w:r w:rsidRPr="00DC37C4">
        <w:rPr>
          <w:rStyle w:val="Refdenotaderodap"/>
          <w:rFonts w:ascii="Arial" w:hAnsi="Arial" w:cs="Arial"/>
          <w:sz w:val="20"/>
          <w:szCs w:val="20"/>
        </w:rPr>
        <w:footnoteRef/>
      </w:r>
      <w:r w:rsidRPr="00DC37C4">
        <w:rPr>
          <w:rFonts w:ascii="Arial" w:hAnsi="Arial" w:cs="Arial"/>
          <w:sz w:val="20"/>
          <w:szCs w:val="20"/>
        </w:rPr>
        <w:t xml:space="preserve"> </w:t>
      </w:r>
      <w:r w:rsidRPr="00B904F4">
        <w:rPr>
          <w:rFonts w:ascii="Arial" w:hAnsi="Arial" w:cs="Arial"/>
          <w:iCs/>
          <w:color w:val="000000" w:themeColor="text1"/>
          <w:sz w:val="20"/>
          <w:szCs w:val="20"/>
        </w:rPr>
        <w:t>Essa alteração legislativa parece possível, uma vez que, por exemplo, há disposições do</w:t>
      </w:r>
      <w:r w:rsidRPr="003F13E8">
        <w:rPr>
          <w:rFonts w:ascii="Arial" w:hAnsi="Arial" w:cs="Arial"/>
          <w:iCs/>
          <w:color w:val="000000" w:themeColor="text1"/>
          <w:sz w:val="20"/>
          <w:szCs w:val="20"/>
        </w:rPr>
        <w:t xml:space="preserve"> Código Civil Português que permitem pacto sucessório restrito entre cônjuges no pacto antenupcial (cf. arts. 1.700 a 1.707)</w:t>
      </w:r>
      <w:r>
        <w:rPr>
          <w:rFonts w:ascii="Arial" w:hAnsi="Arial" w:cs="Arial"/>
          <w:iCs/>
          <w:color w:val="000000" w:themeColor="text1"/>
          <w:sz w:val="20"/>
          <w:szCs w:val="20"/>
        </w:rPr>
        <w:t>. (</w:t>
      </w:r>
      <w:r w:rsidRPr="009828B6">
        <w:rPr>
          <w:rFonts w:ascii="Arial" w:hAnsi="Arial" w:cs="Arial"/>
          <w:iCs/>
          <w:color w:val="000000"/>
          <w:sz w:val="20"/>
          <w:szCs w:val="20"/>
        </w:rPr>
        <w:t>PELUZO, Cezar (org.)</w:t>
      </w:r>
      <w:r>
        <w:rPr>
          <w:rFonts w:ascii="Arial" w:hAnsi="Arial" w:cs="Arial"/>
          <w:iCs/>
          <w:color w:val="000000"/>
          <w:sz w:val="20"/>
          <w:szCs w:val="20"/>
        </w:rPr>
        <w:t xml:space="preserve"> </w:t>
      </w:r>
      <w:r w:rsidRPr="009828B6">
        <w:rPr>
          <w:rFonts w:ascii="Arial" w:hAnsi="Arial" w:cs="Arial"/>
          <w:b/>
          <w:iCs/>
          <w:color w:val="000000"/>
          <w:sz w:val="20"/>
          <w:szCs w:val="20"/>
        </w:rPr>
        <w:t>Código Civil Comentado</w:t>
      </w:r>
      <w:r w:rsidRPr="009828B6">
        <w:rPr>
          <w:rFonts w:ascii="Arial" w:hAnsi="Arial" w:cs="Arial"/>
          <w:iCs/>
          <w:color w:val="000000"/>
          <w:sz w:val="20"/>
          <w:szCs w:val="20"/>
        </w:rPr>
        <w:t xml:space="preserve"> </w:t>
      </w:r>
      <w:r w:rsidRPr="009828B6">
        <w:rPr>
          <w:rFonts w:ascii="Arial" w:hAnsi="Arial" w:cs="Arial"/>
          <w:b/>
          <w:iCs/>
          <w:color w:val="000000"/>
          <w:sz w:val="20"/>
          <w:szCs w:val="20"/>
        </w:rPr>
        <w:t xml:space="preserve">– Doutrina </w:t>
      </w:r>
      <w:r w:rsidRPr="009828B6">
        <w:rPr>
          <w:rFonts w:ascii="Arial" w:hAnsi="Arial" w:cs="Arial"/>
          <w:b/>
          <w:iCs/>
          <w:sz w:val="20"/>
          <w:szCs w:val="20"/>
        </w:rPr>
        <w:t>e Jurisprudência.</w:t>
      </w:r>
      <w:r w:rsidRPr="009828B6">
        <w:rPr>
          <w:rFonts w:ascii="Arial" w:hAnsi="Arial" w:cs="Arial"/>
          <w:iCs/>
          <w:sz w:val="20"/>
          <w:szCs w:val="20"/>
        </w:rPr>
        <w:t xml:space="preserve"> Ed. Manole, São </w:t>
      </w:r>
      <w:r w:rsidRPr="004C6752">
        <w:rPr>
          <w:rFonts w:ascii="Arial" w:hAnsi="Arial" w:cs="Arial"/>
          <w:iCs/>
          <w:sz w:val="20"/>
          <w:szCs w:val="20"/>
        </w:rPr>
        <w:t xml:space="preserve">Paulo, 1ª ed., 2007, pág. </w:t>
      </w:r>
      <w:r>
        <w:rPr>
          <w:rFonts w:ascii="Arial" w:hAnsi="Arial" w:cs="Arial"/>
          <w:iCs/>
          <w:sz w:val="20"/>
          <w:szCs w:val="20"/>
        </w:rPr>
        <w:t>1.822)</w:t>
      </w:r>
      <w:r w:rsidRPr="004C6752">
        <w:rPr>
          <w:rFonts w:ascii="Arial" w:hAnsi="Arial" w:cs="Arial"/>
          <w:iCs/>
          <w:sz w:val="20"/>
          <w:szCs w:val="20"/>
        </w:rPr>
        <w:t>.</w:t>
      </w:r>
    </w:p>
  </w:footnote>
  <w:footnote w:id="121">
    <w:p w:rsidR="00E563F1" w:rsidRDefault="00E563F1" w:rsidP="008C0D43">
      <w:pPr>
        <w:pStyle w:val="Textodenotaderodap"/>
        <w:jc w:val="both"/>
      </w:pPr>
      <w:r w:rsidRPr="002662B5">
        <w:rPr>
          <w:rStyle w:val="Refdenotaderodap"/>
          <w:rFonts w:ascii="Arial" w:hAnsi="Arial" w:cs="Arial"/>
        </w:rPr>
        <w:footnoteRef/>
      </w:r>
      <w:r w:rsidRPr="002662B5">
        <w:rPr>
          <w:rFonts w:ascii="Arial" w:hAnsi="Arial" w:cs="Arial"/>
        </w:rPr>
        <w:t xml:space="preserve"> CAHALI</w:t>
      </w:r>
      <w:r w:rsidRPr="00171755">
        <w:rPr>
          <w:rFonts w:ascii="Arial" w:hAnsi="Arial" w:cs="Arial"/>
        </w:rPr>
        <w:t xml:space="preserve">, Francisco José; HIRONAKA, Giselda Maria. </w:t>
      </w:r>
      <w:r w:rsidRPr="00171755">
        <w:rPr>
          <w:rFonts w:ascii="Arial" w:hAnsi="Arial" w:cs="Arial"/>
          <w:b/>
        </w:rPr>
        <w:t>Direito das Sucessões.</w:t>
      </w:r>
      <w:r w:rsidRPr="00171755">
        <w:rPr>
          <w:rFonts w:ascii="Arial" w:hAnsi="Arial" w:cs="Arial"/>
        </w:rPr>
        <w:t xml:space="preserve"> 5ª ed. rev. São Paulo: Editora Revista dos Tribunais, 2014</w:t>
      </w:r>
      <w:r>
        <w:rPr>
          <w:rFonts w:ascii="Arial" w:hAnsi="Arial" w:cs="Arial"/>
        </w:rPr>
        <w:t>, p. 195.</w:t>
      </w:r>
    </w:p>
  </w:footnote>
  <w:footnote w:id="122">
    <w:p w:rsidR="00E563F1" w:rsidRPr="004538F8" w:rsidRDefault="00E563F1" w:rsidP="004538F8">
      <w:pPr>
        <w:pStyle w:val="Textodenotaderodap"/>
        <w:jc w:val="both"/>
        <w:rPr>
          <w:rFonts w:ascii="Arial" w:hAnsi="Arial" w:cs="Arial"/>
        </w:rPr>
      </w:pPr>
      <w:r w:rsidRPr="004538F8">
        <w:rPr>
          <w:rStyle w:val="Refdenotaderodap"/>
          <w:rFonts w:ascii="Arial" w:hAnsi="Arial" w:cs="Arial"/>
        </w:rPr>
        <w:footnoteRef/>
      </w:r>
      <w:r w:rsidRPr="004538F8">
        <w:rPr>
          <w:rFonts w:ascii="Arial" w:hAnsi="Arial" w:cs="Arial"/>
        </w:rPr>
        <w:t xml:space="preserve"> Ibidem, p. 42.</w:t>
      </w:r>
    </w:p>
  </w:footnote>
  <w:footnote w:id="123">
    <w:p w:rsidR="00E563F1" w:rsidRPr="0033712A" w:rsidRDefault="00E563F1" w:rsidP="0033712A">
      <w:pPr>
        <w:pStyle w:val="Textodenotaderodap"/>
        <w:jc w:val="both"/>
        <w:rPr>
          <w:rFonts w:ascii="Arial" w:hAnsi="Arial" w:cs="Arial"/>
        </w:rPr>
      </w:pPr>
      <w:r w:rsidRPr="0033712A">
        <w:rPr>
          <w:rStyle w:val="Refdenotaderodap"/>
          <w:rFonts w:ascii="Arial" w:hAnsi="Arial" w:cs="Arial"/>
        </w:rPr>
        <w:footnoteRef/>
      </w:r>
      <w:r w:rsidRPr="0033712A">
        <w:rPr>
          <w:rFonts w:ascii="Arial" w:hAnsi="Arial" w:cs="Arial"/>
        </w:rPr>
        <w:t xml:space="preserve"> </w:t>
      </w:r>
      <w:r w:rsidRPr="0033712A">
        <w:rPr>
          <w:rFonts w:ascii="Arial" w:hAnsi="Arial" w:cs="Arial"/>
          <w:color w:val="000000"/>
        </w:rPr>
        <w:t xml:space="preserve">MADALENO, Rolf. </w:t>
      </w:r>
      <w:r w:rsidRPr="0033712A">
        <w:rPr>
          <w:rFonts w:ascii="Arial" w:hAnsi="Arial" w:cs="Arial"/>
          <w:b/>
          <w:color w:val="000000"/>
        </w:rPr>
        <w:t>Renúncia de herança em pacto antenupcial</w:t>
      </w:r>
      <w:r w:rsidRPr="0033712A">
        <w:rPr>
          <w:rFonts w:ascii="Arial" w:hAnsi="Arial" w:cs="Arial"/>
          <w:color w:val="000000"/>
        </w:rPr>
        <w:t>. Revista de Direito das Famílias e Sucessões, n. 27, Belo Horizonte, IBDFAM, p. 9-57, 2018</w:t>
      </w:r>
      <w:r>
        <w:rPr>
          <w:rFonts w:ascii="Arial" w:hAnsi="Arial" w:cs="Arial"/>
          <w:color w:val="000000"/>
        </w:rPr>
        <w:t>.</w:t>
      </w:r>
    </w:p>
  </w:footnote>
  <w:footnote w:id="124">
    <w:p w:rsidR="00654625" w:rsidRPr="00654625" w:rsidRDefault="00654625" w:rsidP="00654625">
      <w:pPr>
        <w:pStyle w:val="Textodenotaderodap"/>
        <w:jc w:val="both"/>
        <w:rPr>
          <w:rFonts w:ascii="Arial" w:hAnsi="Arial" w:cs="Arial"/>
        </w:rPr>
      </w:pPr>
      <w:r w:rsidRPr="00654625">
        <w:rPr>
          <w:rStyle w:val="Refdenotaderodap"/>
          <w:rFonts w:ascii="Arial" w:hAnsi="Arial" w:cs="Arial"/>
        </w:rPr>
        <w:footnoteRef/>
      </w:r>
      <w:r w:rsidRPr="00654625">
        <w:rPr>
          <w:rFonts w:ascii="Arial" w:hAnsi="Arial" w:cs="Arial"/>
        </w:rPr>
        <w:t xml:space="preserve"> Nesse sentido, a professora e doutrinadora Ana Carla Harmatiuk Matos afirma que </w:t>
      </w:r>
      <w:r w:rsidR="00DC5CF5">
        <w:rPr>
          <w:rFonts w:ascii="Arial" w:hAnsi="Arial" w:cs="Arial"/>
        </w:rPr>
        <w:t>“o pacto antenupcial tem sido um importante espaço de autodeterminação”, simbolizando importantes avanços na temática de Direito de Família.</w:t>
      </w:r>
      <w:r w:rsidR="00E85D62">
        <w:rPr>
          <w:rFonts w:ascii="Arial" w:hAnsi="Arial" w:cs="Arial"/>
        </w:rPr>
        <w:t xml:space="preserve"> (MATOS, Ana Carla Harmatiuk. </w:t>
      </w:r>
      <w:r w:rsidR="00E85D62">
        <w:rPr>
          <w:rFonts w:ascii="Arial" w:hAnsi="Arial" w:cs="Arial"/>
          <w:b/>
        </w:rPr>
        <w:t xml:space="preserve">São válidas as disposições patrimoniais e existenciais no pacto antenupcial? </w:t>
      </w:r>
      <w:r w:rsidR="00D01BDB" w:rsidRPr="0000471A">
        <w:rPr>
          <w:rFonts w:ascii="Arial" w:hAnsi="Arial" w:cs="Arial"/>
        </w:rPr>
        <w:t>Disponível em &lt;</w:t>
      </w:r>
      <w:hyperlink r:id="rId16" w:history="1">
        <w:r w:rsidR="00936987" w:rsidRPr="00936987">
          <w:rPr>
            <w:rStyle w:val="Hyperlink"/>
            <w:rFonts w:ascii="Arial" w:hAnsi="Arial" w:cs="Arial"/>
            <w:color w:val="auto"/>
            <w:u w:val="none"/>
          </w:rPr>
          <w:t>https://rbdcivil.ibdcivil.org.br/rbdc/article/view/239/222</w:t>
        </w:r>
      </w:hyperlink>
      <w:r w:rsidR="00D01BDB" w:rsidRPr="0000471A">
        <w:rPr>
          <w:rFonts w:ascii="Arial" w:hAnsi="Arial" w:cs="Arial"/>
        </w:rPr>
        <w:t xml:space="preserve">&gt;; Acesso em: </w:t>
      </w:r>
      <w:r w:rsidR="00E85D62">
        <w:rPr>
          <w:rFonts w:ascii="Arial" w:hAnsi="Arial" w:cs="Arial"/>
        </w:rPr>
        <w:t xml:space="preserve">08 </w:t>
      </w:r>
      <w:r w:rsidR="00D01BDB">
        <w:rPr>
          <w:rFonts w:ascii="Arial" w:hAnsi="Arial" w:cs="Arial"/>
        </w:rPr>
        <w:t>nov.</w:t>
      </w:r>
      <w:r w:rsidR="00D01BDB" w:rsidRPr="0000471A">
        <w:rPr>
          <w:rFonts w:ascii="Arial" w:hAnsi="Arial" w:cs="Arial"/>
        </w:rPr>
        <w:t xml:space="preserve"> 2019</w:t>
      </w:r>
      <w:r w:rsidR="005546E1">
        <w:rPr>
          <w:rFonts w:ascii="Arial" w:hAnsi="Arial" w:cs="Arial"/>
        </w:rPr>
        <w:t>)</w:t>
      </w:r>
      <w:r w:rsidR="00936987">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3F1" w:rsidRDefault="00E563F1" w:rsidP="00997C8B">
    <w:pPr>
      <w:pStyle w:val="Cabealho"/>
      <w:ind w:firstLine="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711515"/>
      <w:docPartObj>
        <w:docPartGallery w:val="Page Numbers (Top of Page)"/>
        <w:docPartUnique/>
      </w:docPartObj>
    </w:sdtPr>
    <w:sdtEndPr>
      <w:rPr>
        <w:rFonts w:ascii="Arial" w:hAnsi="Arial" w:cs="Arial"/>
        <w:sz w:val="20"/>
        <w:szCs w:val="20"/>
      </w:rPr>
    </w:sdtEndPr>
    <w:sdtContent>
      <w:p w:rsidR="00E563F1" w:rsidRPr="001B6F90" w:rsidRDefault="00E563F1">
        <w:pPr>
          <w:pStyle w:val="Cabealho"/>
          <w:jc w:val="right"/>
          <w:rPr>
            <w:rFonts w:ascii="Arial" w:hAnsi="Arial" w:cs="Arial"/>
            <w:sz w:val="20"/>
            <w:szCs w:val="20"/>
          </w:rPr>
        </w:pPr>
        <w:r w:rsidRPr="001B6F90">
          <w:rPr>
            <w:rFonts w:ascii="Arial" w:hAnsi="Arial" w:cs="Arial"/>
            <w:sz w:val="20"/>
            <w:szCs w:val="20"/>
          </w:rPr>
          <w:fldChar w:fldCharType="begin"/>
        </w:r>
        <w:r w:rsidRPr="001B6F90">
          <w:rPr>
            <w:rFonts w:ascii="Arial" w:hAnsi="Arial" w:cs="Arial"/>
            <w:sz w:val="20"/>
            <w:szCs w:val="20"/>
          </w:rPr>
          <w:instrText>PAGE   \* MERGEFORMAT</w:instrText>
        </w:r>
        <w:r w:rsidRPr="001B6F90">
          <w:rPr>
            <w:rFonts w:ascii="Arial" w:hAnsi="Arial" w:cs="Arial"/>
            <w:sz w:val="20"/>
            <w:szCs w:val="20"/>
          </w:rPr>
          <w:fldChar w:fldCharType="separate"/>
        </w:r>
        <w:r w:rsidR="00515177">
          <w:rPr>
            <w:rFonts w:ascii="Arial" w:hAnsi="Arial" w:cs="Arial"/>
            <w:noProof/>
            <w:sz w:val="20"/>
            <w:szCs w:val="20"/>
          </w:rPr>
          <w:t>19</w:t>
        </w:r>
        <w:r w:rsidRPr="001B6F90">
          <w:rPr>
            <w:rFonts w:ascii="Arial" w:hAnsi="Arial" w:cs="Arial"/>
            <w:sz w:val="20"/>
            <w:szCs w:val="20"/>
          </w:rPr>
          <w:fldChar w:fldCharType="end"/>
        </w:r>
      </w:p>
    </w:sdtContent>
  </w:sdt>
  <w:p w:rsidR="00E563F1" w:rsidRDefault="00E563F1" w:rsidP="00997C8B">
    <w:pPr>
      <w:pStyle w:val="Cabealho"/>
      <w:ind w:firstLine="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6027D"/>
    <w:multiLevelType w:val="hybridMultilevel"/>
    <w:tmpl w:val="A1CCA34E"/>
    <w:lvl w:ilvl="0" w:tplc="AA585D3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A3C"/>
    <w:rsid w:val="00001298"/>
    <w:rsid w:val="0000471A"/>
    <w:rsid w:val="0001523A"/>
    <w:rsid w:val="0001576C"/>
    <w:rsid w:val="00015F6A"/>
    <w:rsid w:val="00023398"/>
    <w:rsid w:val="0002699B"/>
    <w:rsid w:val="00033412"/>
    <w:rsid w:val="000371A9"/>
    <w:rsid w:val="00040C52"/>
    <w:rsid w:val="0004174E"/>
    <w:rsid w:val="00042C13"/>
    <w:rsid w:val="00046C4F"/>
    <w:rsid w:val="00050284"/>
    <w:rsid w:val="00050AE3"/>
    <w:rsid w:val="00054A78"/>
    <w:rsid w:val="000569FB"/>
    <w:rsid w:val="000571AE"/>
    <w:rsid w:val="00060FB6"/>
    <w:rsid w:val="00062EE4"/>
    <w:rsid w:val="00067467"/>
    <w:rsid w:val="00071118"/>
    <w:rsid w:val="00073770"/>
    <w:rsid w:val="00075A66"/>
    <w:rsid w:val="00075CAD"/>
    <w:rsid w:val="00080749"/>
    <w:rsid w:val="00082631"/>
    <w:rsid w:val="000848BC"/>
    <w:rsid w:val="00086CA6"/>
    <w:rsid w:val="000900E0"/>
    <w:rsid w:val="00091648"/>
    <w:rsid w:val="00091C7E"/>
    <w:rsid w:val="00093AAC"/>
    <w:rsid w:val="00097720"/>
    <w:rsid w:val="000A02A6"/>
    <w:rsid w:val="000A0826"/>
    <w:rsid w:val="000A7EB4"/>
    <w:rsid w:val="000B0E5C"/>
    <w:rsid w:val="000B34E0"/>
    <w:rsid w:val="000B3B62"/>
    <w:rsid w:val="000B3E12"/>
    <w:rsid w:val="000B55C1"/>
    <w:rsid w:val="000B7205"/>
    <w:rsid w:val="000B744A"/>
    <w:rsid w:val="000C0DFF"/>
    <w:rsid w:val="000C0F87"/>
    <w:rsid w:val="000C3CC1"/>
    <w:rsid w:val="000C45D1"/>
    <w:rsid w:val="000C71C9"/>
    <w:rsid w:val="000D0BF5"/>
    <w:rsid w:val="000D15BE"/>
    <w:rsid w:val="000D318C"/>
    <w:rsid w:val="000D6CAE"/>
    <w:rsid w:val="000D72BD"/>
    <w:rsid w:val="000E3B2E"/>
    <w:rsid w:val="000E3D75"/>
    <w:rsid w:val="000E5B45"/>
    <w:rsid w:val="000E67AD"/>
    <w:rsid w:val="000E7773"/>
    <w:rsid w:val="000F1325"/>
    <w:rsid w:val="000F1C62"/>
    <w:rsid w:val="000F31DE"/>
    <w:rsid w:val="00100BAF"/>
    <w:rsid w:val="001016B8"/>
    <w:rsid w:val="001053E0"/>
    <w:rsid w:val="00107489"/>
    <w:rsid w:val="00113E0A"/>
    <w:rsid w:val="001160EA"/>
    <w:rsid w:val="00116C02"/>
    <w:rsid w:val="00116F3D"/>
    <w:rsid w:val="00123650"/>
    <w:rsid w:val="00123878"/>
    <w:rsid w:val="001264A2"/>
    <w:rsid w:val="00126810"/>
    <w:rsid w:val="00126ED2"/>
    <w:rsid w:val="00127068"/>
    <w:rsid w:val="00127147"/>
    <w:rsid w:val="001278AE"/>
    <w:rsid w:val="001304A9"/>
    <w:rsid w:val="00132F27"/>
    <w:rsid w:val="001353BE"/>
    <w:rsid w:val="0013753F"/>
    <w:rsid w:val="00137FD7"/>
    <w:rsid w:val="001421B8"/>
    <w:rsid w:val="001454D1"/>
    <w:rsid w:val="001460A3"/>
    <w:rsid w:val="001513DA"/>
    <w:rsid w:val="00154981"/>
    <w:rsid w:val="00155568"/>
    <w:rsid w:val="00157F63"/>
    <w:rsid w:val="00160A3B"/>
    <w:rsid w:val="00160C61"/>
    <w:rsid w:val="00163D22"/>
    <w:rsid w:val="00163F3D"/>
    <w:rsid w:val="00166740"/>
    <w:rsid w:val="00167575"/>
    <w:rsid w:val="00167AF1"/>
    <w:rsid w:val="00167C00"/>
    <w:rsid w:val="00171755"/>
    <w:rsid w:val="00173737"/>
    <w:rsid w:val="00173D97"/>
    <w:rsid w:val="00176DF5"/>
    <w:rsid w:val="00181222"/>
    <w:rsid w:val="00184BE0"/>
    <w:rsid w:val="00185AB2"/>
    <w:rsid w:val="00187969"/>
    <w:rsid w:val="001903CE"/>
    <w:rsid w:val="00193717"/>
    <w:rsid w:val="00194ACA"/>
    <w:rsid w:val="00197876"/>
    <w:rsid w:val="00197A59"/>
    <w:rsid w:val="00197D24"/>
    <w:rsid w:val="001A0BA3"/>
    <w:rsid w:val="001A259A"/>
    <w:rsid w:val="001A5AF3"/>
    <w:rsid w:val="001B0615"/>
    <w:rsid w:val="001B29B9"/>
    <w:rsid w:val="001B2FE4"/>
    <w:rsid w:val="001B45F5"/>
    <w:rsid w:val="001B6F90"/>
    <w:rsid w:val="001B746E"/>
    <w:rsid w:val="001C20A1"/>
    <w:rsid w:val="001C20C5"/>
    <w:rsid w:val="001C2382"/>
    <w:rsid w:val="001C45A5"/>
    <w:rsid w:val="001C4E4F"/>
    <w:rsid w:val="001C6D5E"/>
    <w:rsid w:val="001D0B0A"/>
    <w:rsid w:val="001D1354"/>
    <w:rsid w:val="001D1B18"/>
    <w:rsid w:val="001D7B12"/>
    <w:rsid w:val="001D7B8A"/>
    <w:rsid w:val="001D7D27"/>
    <w:rsid w:val="001E122C"/>
    <w:rsid w:val="001E1C39"/>
    <w:rsid w:val="001E2367"/>
    <w:rsid w:val="001E23CA"/>
    <w:rsid w:val="001E3809"/>
    <w:rsid w:val="001E578A"/>
    <w:rsid w:val="001F045A"/>
    <w:rsid w:val="001F5485"/>
    <w:rsid w:val="001F637E"/>
    <w:rsid w:val="001F65EB"/>
    <w:rsid w:val="002039E1"/>
    <w:rsid w:val="002044B4"/>
    <w:rsid w:val="00204D51"/>
    <w:rsid w:val="00205A16"/>
    <w:rsid w:val="00206DFE"/>
    <w:rsid w:val="00207DE8"/>
    <w:rsid w:val="002110E8"/>
    <w:rsid w:val="00213210"/>
    <w:rsid w:val="0021369E"/>
    <w:rsid w:val="002146FA"/>
    <w:rsid w:val="002155AC"/>
    <w:rsid w:val="0021733C"/>
    <w:rsid w:val="002206B1"/>
    <w:rsid w:val="0022249C"/>
    <w:rsid w:val="0022525A"/>
    <w:rsid w:val="00225F77"/>
    <w:rsid w:val="002266E5"/>
    <w:rsid w:val="00227E26"/>
    <w:rsid w:val="00227FB5"/>
    <w:rsid w:val="00230B22"/>
    <w:rsid w:val="00235489"/>
    <w:rsid w:val="002417E3"/>
    <w:rsid w:val="002431D9"/>
    <w:rsid w:val="0024388A"/>
    <w:rsid w:val="00245DDC"/>
    <w:rsid w:val="0024613D"/>
    <w:rsid w:val="002470AA"/>
    <w:rsid w:val="00250AD6"/>
    <w:rsid w:val="00253681"/>
    <w:rsid w:val="002541BC"/>
    <w:rsid w:val="00257AE4"/>
    <w:rsid w:val="00261109"/>
    <w:rsid w:val="0026337B"/>
    <w:rsid w:val="0026346E"/>
    <w:rsid w:val="002647C4"/>
    <w:rsid w:val="002662B5"/>
    <w:rsid w:val="00267719"/>
    <w:rsid w:val="00270AA8"/>
    <w:rsid w:val="00271DE5"/>
    <w:rsid w:val="0027426A"/>
    <w:rsid w:val="00274FC0"/>
    <w:rsid w:val="00275257"/>
    <w:rsid w:val="00275602"/>
    <w:rsid w:val="0027587F"/>
    <w:rsid w:val="00276238"/>
    <w:rsid w:val="00280EA9"/>
    <w:rsid w:val="00284904"/>
    <w:rsid w:val="002855DD"/>
    <w:rsid w:val="0028736A"/>
    <w:rsid w:val="00294FAA"/>
    <w:rsid w:val="00296040"/>
    <w:rsid w:val="00297C04"/>
    <w:rsid w:val="002A2FCD"/>
    <w:rsid w:val="002A34A7"/>
    <w:rsid w:val="002A7BE4"/>
    <w:rsid w:val="002B005B"/>
    <w:rsid w:val="002B0302"/>
    <w:rsid w:val="002B3933"/>
    <w:rsid w:val="002B650B"/>
    <w:rsid w:val="002C0508"/>
    <w:rsid w:val="002C0DFD"/>
    <w:rsid w:val="002C12AC"/>
    <w:rsid w:val="002C1DE8"/>
    <w:rsid w:val="002C27B0"/>
    <w:rsid w:val="002C4353"/>
    <w:rsid w:val="002C47CE"/>
    <w:rsid w:val="002D1A2C"/>
    <w:rsid w:val="002D2436"/>
    <w:rsid w:val="002D39AA"/>
    <w:rsid w:val="002D7192"/>
    <w:rsid w:val="002D730C"/>
    <w:rsid w:val="002E0785"/>
    <w:rsid w:val="002E3C66"/>
    <w:rsid w:val="002E4029"/>
    <w:rsid w:val="002E4E5D"/>
    <w:rsid w:val="002E7123"/>
    <w:rsid w:val="002F1F85"/>
    <w:rsid w:val="002F280B"/>
    <w:rsid w:val="002F3AB1"/>
    <w:rsid w:val="002F3E71"/>
    <w:rsid w:val="002F4604"/>
    <w:rsid w:val="002F7038"/>
    <w:rsid w:val="003014D8"/>
    <w:rsid w:val="00301603"/>
    <w:rsid w:val="00302E2D"/>
    <w:rsid w:val="00303A76"/>
    <w:rsid w:val="00307A6E"/>
    <w:rsid w:val="00307FF9"/>
    <w:rsid w:val="00314FB6"/>
    <w:rsid w:val="00325226"/>
    <w:rsid w:val="003264C9"/>
    <w:rsid w:val="0032691F"/>
    <w:rsid w:val="003271CA"/>
    <w:rsid w:val="003304DB"/>
    <w:rsid w:val="00330C0E"/>
    <w:rsid w:val="0033403A"/>
    <w:rsid w:val="003346E3"/>
    <w:rsid w:val="0033655E"/>
    <w:rsid w:val="00336656"/>
    <w:rsid w:val="0033712A"/>
    <w:rsid w:val="003419FB"/>
    <w:rsid w:val="00341E09"/>
    <w:rsid w:val="00341E12"/>
    <w:rsid w:val="0034396B"/>
    <w:rsid w:val="00343CE3"/>
    <w:rsid w:val="00346965"/>
    <w:rsid w:val="003519D4"/>
    <w:rsid w:val="00351B22"/>
    <w:rsid w:val="0035385D"/>
    <w:rsid w:val="0035756C"/>
    <w:rsid w:val="00362924"/>
    <w:rsid w:val="00363AAA"/>
    <w:rsid w:val="00364816"/>
    <w:rsid w:val="00365CD1"/>
    <w:rsid w:val="0036797E"/>
    <w:rsid w:val="00371236"/>
    <w:rsid w:val="00371CED"/>
    <w:rsid w:val="00373325"/>
    <w:rsid w:val="003746A6"/>
    <w:rsid w:val="003803C9"/>
    <w:rsid w:val="00384C18"/>
    <w:rsid w:val="00392F42"/>
    <w:rsid w:val="00394984"/>
    <w:rsid w:val="003951AD"/>
    <w:rsid w:val="00395E0F"/>
    <w:rsid w:val="003A0460"/>
    <w:rsid w:val="003A2A40"/>
    <w:rsid w:val="003A4543"/>
    <w:rsid w:val="003A5431"/>
    <w:rsid w:val="003A5477"/>
    <w:rsid w:val="003B1388"/>
    <w:rsid w:val="003B4DA4"/>
    <w:rsid w:val="003B5084"/>
    <w:rsid w:val="003B5C75"/>
    <w:rsid w:val="003B77E3"/>
    <w:rsid w:val="003C0776"/>
    <w:rsid w:val="003C0984"/>
    <w:rsid w:val="003C4EAA"/>
    <w:rsid w:val="003C552E"/>
    <w:rsid w:val="003D1926"/>
    <w:rsid w:val="003D3F4C"/>
    <w:rsid w:val="003D4621"/>
    <w:rsid w:val="003D59F9"/>
    <w:rsid w:val="003D7560"/>
    <w:rsid w:val="003E2D1A"/>
    <w:rsid w:val="003E31D3"/>
    <w:rsid w:val="003E3BDA"/>
    <w:rsid w:val="003E69F7"/>
    <w:rsid w:val="003E6E23"/>
    <w:rsid w:val="003E7163"/>
    <w:rsid w:val="003F13E8"/>
    <w:rsid w:val="004013F2"/>
    <w:rsid w:val="00401769"/>
    <w:rsid w:val="00402515"/>
    <w:rsid w:val="0040285B"/>
    <w:rsid w:val="0040490E"/>
    <w:rsid w:val="00405CE7"/>
    <w:rsid w:val="004077A8"/>
    <w:rsid w:val="00412210"/>
    <w:rsid w:val="004145F7"/>
    <w:rsid w:val="00415061"/>
    <w:rsid w:val="004164D8"/>
    <w:rsid w:val="00417674"/>
    <w:rsid w:val="00422009"/>
    <w:rsid w:val="00424ADC"/>
    <w:rsid w:val="00425545"/>
    <w:rsid w:val="00425F0E"/>
    <w:rsid w:val="004268E6"/>
    <w:rsid w:val="004272D3"/>
    <w:rsid w:val="0043376A"/>
    <w:rsid w:val="004342E0"/>
    <w:rsid w:val="00443585"/>
    <w:rsid w:val="004444A7"/>
    <w:rsid w:val="004461E8"/>
    <w:rsid w:val="0044655E"/>
    <w:rsid w:val="00450022"/>
    <w:rsid w:val="00450984"/>
    <w:rsid w:val="004518FB"/>
    <w:rsid w:val="004538F8"/>
    <w:rsid w:val="00453BC4"/>
    <w:rsid w:val="00453DF1"/>
    <w:rsid w:val="00455F49"/>
    <w:rsid w:val="0045687C"/>
    <w:rsid w:val="004568D6"/>
    <w:rsid w:val="00461416"/>
    <w:rsid w:val="0046300D"/>
    <w:rsid w:val="00465E7F"/>
    <w:rsid w:val="004723FF"/>
    <w:rsid w:val="004729E0"/>
    <w:rsid w:val="00475B9D"/>
    <w:rsid w:val="00477902"/>
    <w:rsid w:val="00482520"/>
    <w:rsid w:val="0048271E"/>
    <w:rsid w:val="004843F0"/>
    <w:rsid w:val="004862D4"/>
    <w:rsid w:val="0049238F"/>
    <w:rsid w:val="00493078"/>
    <w:rsid w:val="00493C3D"/>
    <w:rsid w:val="00496AE0"/>
    <w:rsid w:val="004A4967"/>
    <w:rsid w:val="004A51E0"/>
    <w:rsid w:val="004A5848"/>
    <w:rsid w:val="004A6552"/>
    <w:rsid w:val="004A6CDB"/>
    <w:rsid w:val="004A7021"/>
    <w:rsid w:val="004B01C3"/>
    <w:rsid w:val="004B2289"/>
    <w:rsid w:val="004B2CE7"/>
    <w:rsid w:val="004B3190"/>
    <w:rsid w:val="004B45F2"/>
    <w:rsid w:val="004B64CA"/>
    <w:rsid w:val="004B6C17"/>
    <w:rsid w:val="004C21CE"/>
    <w:rsid w:val="004C339C"/>
    <w:rsid w:val="004C6752"/>
    <w:rsid w:val="004C6AE1"/>
    <w:rsid w:val="004C6D76"/>
    <w:rsid w:val="004D0235"/>
    <w:rsid w:val="004D0DBD"/>
    <w:rsid w:val="004D1D83"/>
    <w:rsid w:val="004D3295"/>
    <w:rsid w:val="004D5C94"/>
    <w:rsid w:val="004E3496"/>
    <w:rsid w:val="004E46E8"/>
    <w:rsid w:val="004E6853"/>
    <w:rsid w:val="004E7279"/>
    <w:rsid w:val="004E72E9"/>
    <w:rsid w:val="004F10A9"/>
    <w:rsid w:val="004F1DDE"/>
    <w:rsid w:val="004F245C"/>
    <w:rsid w:val="004F31B4"/>
    <w:rsid w:val="004F34CD"/>
    <w:rsid w:val="004F6E2F"/>
    <w:rsid w:val="004F7247"/>
    <w:rsid w:val="004F7CF2"/>
    <w:rsid w:val="0050012A"/>
    <w:rsid w:val="00502776"/>
    <w:rsid w:val="0050777A"/>
    <w:rsid w:val="00514172"/>
    <w:rsid w:val="00515177"/>
    <w:rsid w:val="005206C5"/>
    <w:rsid w:val="0052136E"/>
    <w:rsid w:val="00523D71"/>
    <w:rsid w:val="00524E70"/>
    <w:rsid w:val="00526011"/>
    <w:rsid w:val="00531986"/>
    <w:rsid w:val="00532599"/>
    <w:rsid w:val="0053522A"/>
    <w:rsid w:val="00536318"/>
    <w:rsid w:val="00536971"/>
    <w:rsid w:val="005449EA"/>
    <w:rsid w:val="0054553C"/>
    <w:rsid w:val="00545FAC"/>
    <w:rsid w:val="00552A61"/>
    <w:rsid w:val="005546E1"/>
    <w:rsid w:val="005600BD"/>
    <w:rsid w:val="00561E7E"/>
    <w:rsid w:val="00565925"/>
    <w:rsid w:val="00571DBB"/>
    <w:rsid w:val="00572801"/>
    <w:rsid w:val="005773C8"/>
    <w:rsid w:val="00580859"/>
    <w:rsid w:val="00580860"/>
    <w:rsid w:val="005808D0"/>
    <w:rsid w:val="005821E5"/>
    <w:rsid w:val="00582E70"/>
    <w:rsid w:val="0058752E"/>
    <w:rsid w:val="0059092A"/>
    <w:rsid w:val="00591489"/>
    <w:rsid w:val="00592639"/>
    <w:rsid w:val="005926EC"/>
    <w:rsid w:val="00592D95"/>
    <w:rsid w:val="00594AD8"/>
    <w:rsid w:val="0059571A"/>
    <w:rsid w:val="005968E5"/>
    <w:rsid w:val="00596CDB"/>
    <w:rsid w:val="005A1E5A"/>
    <w:rsid w:val="005A218B"/>
    <w:rsid w:val="005A6AD0"/>
    <w:rsid w:val="005B10D0"/>
    <w:rsid w:val="005B13BC"/>
    <w:rsid w:val="005B7A75"/>
    <w:rsid w:val="005C1EDC"/>
    <w:rsid w:val="005C70F7"/>
    <w:rsid w:val="005C72EB"/>
    <w:rsid w:val="005D08E5"/>
    <w:rsid w:val="005D19B0"/>
    <w:rsid w:val="005D5F8B"/>
    <w:rsid w:val="005D7D1D"/>
    <w:rsid w:val="005E11F4"/>
    <w:rsid w:val="005E5D6B"/>
    <w:rsid w:val="005E5E36"/>
    <w:rsid w:val="005E6A94"/>
    <w:rsid w:val="005E755E"/>
    <w:rsid w:val="005F1831"/>
    <w:rsid w:val="005F3C64"/>
    <w:rsid w:val="005F4476"/>
    <w:rsid w:val="005F52FB"/>
    <w:rsid w:val="00600063"/>
    <w:rsid w:val="00603859"/>
    <w:rsid w:val="00604321"/>
    <w:rsid w:val="00606102"/>
    <w:rsid w:val="0061368B"/>
    <w:rsid w:val="00613D3F"/>
    <w:rsid w:val="0061401C"/>
    <w:rsid w:val="006169F8"/>
    <w:rsid w:val="00620035"/>
    <w:rsid w:val="00622B96"/>
    <w:rsid w:val="00625CBF"/>
    <w:rsid w:val="006264BF"/>
    <w:rsid w:val="006278EF"/>
    <w:rsid w:val="00630785"/>
    <w:rsid w:val="006340A9"/>
    <w:rsid w:val="006348EC"/>
    <w:rsid w:val="00636978"/>
    <w:rsid w:val="00640CAB"/>
    <w:rsid w:val="00641088"/>
    <w:rsid w:val="006423B3"/>
    <w:rsid w:val="00643198"/>
    <w:rsid w:val="006438C1"/>
    <w:rsid w:val="0064480E"/>
    <w:rsid w:val="00644CC1"/>
    <w:rsid w:val="00644E58"/>
    <w:rsid w:val="006453A6"/>
    <w:rsid w:val="00646C45"/>
    <w:rsid w:val="00651EBB"/>
    <w:rsid w:val="00652ABE"/>
    <w:rsid w:val="00652B60"/>
    <w:rsid w:val="00654625"/>
    <w:rsid w:val="0065653D"/>
    <w:rsid w:val="00661066"/>
    <w:rsid w:val="00661F2B"/>
    <w:rsid w:val="006665F9"/>
    <w:rsid w:val="00667011"/>
    <w:rsid w:val="00667988"/>
    <w:rsid w:val="00670F7A"/>
    <w:rsid w:val="00673461"/>
    <w:rsid w:val="00673F51"/>
    <w:rsid w:val="00677D8E"/>
    <w:rsid w:val="00680723"/>
    <w:rsid w:val="00693107"/>
    <w:rsid w:val="00693617"/>
    <w:rsid w:val="00693FC2"/>
    <w:rsid w:val="00696F59"/>
    <w:rsid w:val="006A042F"/>
    <w:rsid w:val="006A1D20"/>
    <w:rsid w:val="006A202B"/>
    <w:rsid w:val="006A5838"/>
    <w:rsid w:val="006A5FC0"/>
    <w:rsid w:val="006A6FA6"/>
    <w:rsid w:val="006B08F2"/>
    <w:rsid w:val="006B162E"/>
    <w:rsid w:val="006B3D76"/>
    <w:rsid w:val="006B5514"/>
    <w:rsid w:val="006B59EA"/>
    <w:rsid w:val="006B6D41"/>
    <w:rsid w:val="006B7884"/>
    <w:rsid w:val="006C0060"/>
    <w:rsid w:val="006C01D3"/>
    <w:rsid w:val="006C0C44"/>
    <w:rsid w:val="006C1DFD"/>
    <w:rsid w:val="006C2B5E"/>
    <w:rsid w:val="006C6687"/>
    <w:rsid w:val="006E1732"/>
    <w:rsid w:val="006E1811"/>
    <w:rsid w:val="006E2DD5"/>
    <w:rsid w:val="006E3439"/>
    <w:rsid w:val="006F004D"/>
    <w:rsid w:val="006F0A20"/>
    <w:rsid w:val="006F1988"/>
    <w:rsid w:val="006F3187"/>
    <w:rsid w:val="006F618B"/>
    <w:rsid w:val="006F7D87"/>
    <w:rsid w:val="00700E94"/>
    <w:rsid w:val="00701D72"/>
    <w:rsid w:val="0070280E"/>
    <w:rsid w:val="00702930"/>
    <w:rsid w:val="007034E1"/>
    <w:rsid w:val="00703D10"/>
    <w:rsid w:val="00706598"/>
    <w:rsid w:val="00707592"/>
    <w:rsid w:val="00713DD6"/>
    <w:rsid w:val="007141D5"/>
    <w:rsid w:val="00720766"/>
    <w:rsid w:val="00722BDE"/>
    <w:rsid w:val="0072549A"/>
    <w:rsid w:val="0072731E"/>
    <w:rsid w:val="007310D4"/>
    <w:rsid w:val="007334DB"/>
    <w:rsid w:val="00733AEC"/>
    <w:rsid w:val="007401A1"/>
    <w:rsid w:val="00740E32"/>
    <w:rsid w:val="007416CD"/>
    <w:rsid w:val="007463F3"/>
    <w:rsid w:val="007477AA"/>
    <w:rsid w:val="00747D15"/>
    <w:rsid w:val="00750854"/>
    <w:rsid w:val="007539F0"/>
    <w:rsid w:val="007563F0"/>
    <w:rsid w:val="00757687"/>
    <w:rsid w:val="00760024"/>
    <w:rsid w:val="00760166"/>
    <w:rsid w:val="00760E95"/>
    <w:rsid w:val="007621FF"/>
    <w:rsid w:val="007639BB"/>
    <w:rsid w:val="00767CF7"/>
    <w:rsid w:val="00771B48"/>
    <w:rsid w:val="00773C89"/>
    <w:rsid w:val="007755E8"/>
    <w:rsid w:val="00780A85"/>
    <w:rsid w:val="00785F10"/>
    <w:rsid w:val="00787731"/>
    <w:rsid w:val="00791186"/>
    <w:rsid w:val="00792EE5"/>
    <w:rsid w:val="00793E63"/>
    <w:rsid w:val="00794960"/>
    <w:rsid w:val="00795514"/>
    <w:rsid w:val="00797DFC"/>
    <w:rsid w:val="007A0A3C"/>
    <w:rsid w:val="007A14F3"/>
    <w:rsid w:val="007A169F"/>
    <w:rsid w:val="007A4ABB"/>
    <w:rsid w:val="007A5A1D"/>
    <w:rsid w:val="007A69A4"/>
    <w:rsid w:val="007B07B6"/>
    <w:rsid w:val="007B16B2"/>
    <w:rsid w:val="007B37AD"/>
    <w:rsid w:val="007B49A4"/>
    <w:rsid w:val="007B4CA4"/>
    <w:rsid w:val="007B60F3"/>
    <w:rsid w:val="007B635C"/>
    <w:rsid w:val="007C35C2"/>
    <w:rsid w:val="007C3AEF"/>
    <w:rsid w:val="007C3CC2"/>
    <w:rsid w:val="007C5FE0"/>
    <w:rsid w:val="007C68D4"/>
    <w:rsid w:val="007D1898"/>
    <w:rsid w:val="007D265A"/>
    <w:rsid w:val="007D56CC"/>
    <w:rsid w:val="007E4734"/>
    <w:rsid w:val="007E4799"/>
    <w:rsid w:val="007E686E"/>
    <w:rsid w:val="007F1654"/>
    <w:rsid w:val="007F3701"/>
    <w:rsid w:val="007F3F3E"/>
    <w:rsid w:val="007F48E1"/>
    <w:rsid w:val="00801139"/>
    <w:rsid w:val="00801491"/>
    <w:rsid w:val="0080338C"/>
    <w:rsid w:val="008057E5"/>
    <w:rsid w:val="00806793"/>
    <w:rsid w:val="008104E0"/>
    <w:rsid w:val="00810BFC"/>
    <w:rsid w:val="00810C31"/>
    <w:rsid w:val="00816446"/>
    <w:rsid w:val="00817038"/>
    <w:rsid w:val="00823584"/>
    <w:rsid w:val="00826349"/>
    <w:rsid w:val="008332B8"/>
    <w:rsid w:val="00834831"/>
    <w:rsid w:val="008357E5"/>
    <w:rsid w:val="008411CB"/>
    <w:rsid w:val="00841A96"/>
    <w:rsid w:val="0084688E"/>
    <w:rsid w:val="008501C0"/>
    <w:rsid w:val="00851B9C"/>
    <w:rsid w:val="008534E9"/>
    <w:rsid w:val="008542BE"/>
    <w:rsid w:val="00855937"/>
    <w:rsid w:val="00855F90"/>
    <w:rsid w:val="008601C6"/>
    <w:rsid w:val="00862774"/>
    <w:rsid w:val="00867361"/>
    <w:rsid w:val="00867B0F"/>
    <w:rsid w:val="008717F6"/>
    <w:rsid w:val="00872479"/>
    <w:rsid w:val="00872AAD"/>
    <w:rsid w:val="00877318"/>
    <w:rsid w:val="0087740E"/>
    <w:rsid w:val="008804CC"/>
    <w:rsid w:val="008815DD"/>
    <w:rsid w:val="00882253"/>
    <w:rsid w:val="00887603"/>
    <w:rsid w:val="00891A6B"/>
    <w:rsid w:val="008942FB"/>
    <w:rsid w:val="0089444D"/>
    <w:rsid w:val="00894E27"/>
    <w:rsid w:val="00895E85"/>
    <w:rsid w:val="008A5282"/>
    <w:rsid w:val="008A55E3"/>
    <w:rsid w:val="008B0FE4"/>
    <w:rsid w:val="008B1376"/>
    <w:rsid w:val="008B1F32"/>
    <w:rsid w:val="008B25CD"/>
    <w:rsid w:val="008B639D"/>
    <w:rsid w:val="008B6CB8"/>
    <w:rsid w:val="008C0D43"/>
    <w:rsid w:val="008C42AF"/>
    <w:rsid w:val="008C4897"/>
    <w:rsid w:val="008C7BCF"/>
    <w:rsid w:val="008D20F9"/>
    <w:rsid w:val="008D214D"/>
    <w:rsid w:val="008D69C1"/>
    <w:rsid w:val="008E021E"/>
    <w:rsid w:val="008E24E6"/>
    <w:rsid w:val="008E361E"/>
    <w:rsid w:val="008F0A26"/>
    <w:rsid w:val="008F2BDD"/>
    <w:rsid w:val="008F43CD"/>
    <w:rsid w:val="008F43DE"/>
    <w:rsid w:val="008F451C"/>
    <w:rsid w:val="008F63E2"/>
    <w:rsid w:val="00904C03"/>
    <w:rsid w:val="00905434"/>
    <w:rsid w:val="009056A6"/>
    <w:rsid w:val="009063F4"/>
    <w:rsid w:val="00912321"/>
    <w:rsid w:val="0091345B"/>
    <w:rsid w:val="00915A1F"/>
    <w:rsid w:val="009160C6"/>
    <w:rsid w:val="0091625E"/>
    <w:rsid w:val="00916551"/>
    <w:rsid w:val="00920147"/>
    <w:rsid w:val="009217F8"/>
    <w:rsid w:val="00924F9F"/>
    <w:rsid w:val="00927FF9"/>
    <w:rsid w:val="009313CA"/>
    <w:rsid w:val="00933336"/>
    <w:rsid w:val="00936987"/>
    <w:rsid w:val="00937C29"/>
    <w:rsid w:val="00941B23"/>
    <w:rsid w:val="0094245D"/>
    <w:rsid w:val="00942B85"/>
    <w:rsid w:val="00950341"/>
    <w:rsid w:val="00950FA7"/>
    <w:rsid w:val="00951A28"/>
    <w:rsid w:val="00953D1E"/>
    <w:rsid w:val="009541B4"/>
    <w:rsid w:val="0095511D"/>
    <w:rsid w:val="00957001"/>
    <w:rsid w:val="00961055"/>
    <w:rsid w:val="00970482"/>
    <w:rsid w:val="00971349"/>
    <w:rsid w:val="00971F03"/>
    <w:rsid w:val="00973B8C"/>
    <w:rsid w:val="00976B49"/>
    <w:rsid w:val="00980809"/>
    <w:rsid w:val="009828B6"/>
    <w:rsid w:val="00982E4D"/>
    <w:rsid w:val="00986F4C"/>
    <w:rsid w:val="00990780"/>
    <w:rsid w:val="009916F7"/>
    <w:rsid w:val="0099197B"/>
    <w:rsid w:val="00993128"/>
    <w:rsid w:val="009977E7"/>
    <w:rsid w:val="00997C8B"/>
    <w:rsid w:val="009A12FA"/>
    <w:rsid w:val="009A3B10"/>
    <w:rsid w:val="009A59A1"/>
    <w:rsid w:val="009A59AC"/>
    <w:rsid w:val="009A7E00"/>
    <w:rsid w:val="009B0B63"/>
    <w:rsid w:val="009B2425"/>
    <w:rsid w:val="009B3C05"/>
    <w:rsid w:val="009B4CA7"/>
    <w:rsid w:val="009B56AF"/>
    <w:rsid w:val="009B6E5D"/>
    <w:rsid w:val="009C15D1"/>
    <w:rsid w:val="009C2B00"/>
    <w:rsid w:val="009C4CE3"/>
    <w:rsid w:val="009C5D95"/>
    <w:rsid w:val="009C76E1"/>
    <w:rsid w:val="009D1BD2"/>
    <w:rsid w:val="009D7177"/>
    <w:rsid w:val="009E0829"/>
    <w:rsid w:val="009E3664"/>
    <w:rsid w:val="009E398B"/>
    <w:rsid w:val="009E4534"/>
    <w:rsid w:val="009E4EEF"/>
    <w:rsid w:val="009F2EEA"/>
    <w:rsid w:val="009F712C"/>
    <w:rsid w:val="00A0304B"/>
    <w:rsid w:val="00A115C8"/>
    <w:rsid w:val="00A11849"/>
    <w:rsid w:val="00A12378"/>
    <w:rsid w:val="00A13BD1"/>
    <w:rsid w:val="00A14B33"/>
    <w:rsid w:val="00A167F9"/>
    <w:rsid w:val="00A211B8"/>
    <w:rsid w:val="00A219F0"/>
    <w:rsid w:val="00A26B95"/>
    <w:rsid w:val="00A300B8"/>
    <w:rsid w:val="00A31E07"/>
    <w:rsid w:val="00A328E6"/>
    <w:rsid w:val="00A33BD0"/>
    <w:rsid w:val="00A34C10"/>
    <w:rsid w:val="00A3605A"/>
    <w:rsid w:val="00A416A1"/>
    <w:rsid w:val="00A42391"/>
    <w:rsid w:val="00A423BD"/>
    <w:rsid w:val="00A454BB"/>
    <w:rsid w:val="00A46FDD"/>
    <w:rsid w:val="00A5180A"/>
    <w:rsid w:val="00A52834"/>
    <w:rsid w:val="00A5342D"/>
    <w:rsid w:val="00A536A7"/>
    <w:rsid w:val="00A54C34"/>
    <w:rsid w:val="00A5779E"/>
    <w:rsid w:val="00A661D6"/>
    <w:rsid w:val="00A66F01"/>
    <w:rsid w:val="00A67E6A"/>
    <w:rsid w:val="00A7155C"/>
    <w:rsid w:val="00A7558D"/>
    <w:rsid w:val="00A80547"/>
    <w:rsid w:val="00A833DE"/>
    <w:rsid w:val="00A84AF7"/>
    <w:rsid w:val="00A866A9"/>
    <w:rsid w:val="00A91027"/>
    <w:rsid w:val="00A914AF"/>
    <w:rsid w:val="00A921C3"/>
    <w:rsid w:val="00A963B0"/>
    <w:rsid w:val="00A96CA7"/>
    <w:rsid w:val="00A97624"/>
    <w:rsid w:val="00AA1B9B"/>
    <w:rsid w:val="00AA5807"/>
    <w:rsid w:val="00AA588E"/>
    <w:rsid w:val="00AA6CEC"/>
    <w:rsid w:val="00AA7BE8"/>
    <w:rsid w:val="00AB2F98"/>
    <w:rsid w:val="00AB3E8C"/>
    <w:rsid w:val="00AB618B"/>
    <w:rsid w:val="00AC2817"/>
    <w:rsid w:val="00AC4171"/>
    <w:rsid w:val="00AC580F"/>
    <w:rsid w:val="00AC7FC8"/>
    <w:rsid w:val="00AD1325"/>
    <w:rsid w:val="00AD4F9B"/>
    <w:rsid w:val="00AD6482"/>
    <w:rsid w:val="00AE0368"/>
    <w:rsid w:val="00AE06EC"/>
    <w:rsid w:val="00AE0F5B"/>
    <w:rsid w:val="00AE3AC2"/>
    <w:rsid w:val="00AE3D3E"/>
    <w:rsid w:val="00AE4AB8"/>
    <w:rsid w:val="00AE5264"/>
    <w:rsid w:val="00AE6453"/>
    <w:rsid w:val="00AF6B64"/>
    <w:rsid w:val="00AF73D3"/>
    <w:rsid w:val="00B00274"/>
    <w:rsid w:val="00B06540"/>
    <w:rsid w:val="00B07403"/>
    <w:rsid w:val="00B131D2"/>
    <w:rsid w:val="00B17597"/>
    <w:rsid w:val="00B20183"/>
    <w:rsid w:val="00B20B6D"/>
    <w:rsid w:val="00B2314E"/>
    <w:rsid w:val="00B25AFA"/>
    <w:rsid w:val="00B25EA9"/>
    <w:rsid w:val="00B26030"/>
    <w:rsid w:val="00B269DA"/>
    <w:rsid w:val="00B348D0"/>
    <w:rsid w:val="00B3783B"/>
    <w:rsid w:val="00B40DD4"/>
    <w:rsid w:val="00B412B3"/>
    <w:rsid w:val="00B419B9"/>
    <w:rsid w:val="00B42FD0"/>
    <w:rsid w:val="00B43D98"/>
    <w:rsid w:val="00B5211C"/>
    <w:rsid w:val="00B521A5"/>
    <w:rsid w:val="00B54582"/>
    <w:rsid w:val="00B55564"/>
    <w:rsid w:val="00B559C6"/>
    <w:rsid w:val="00B5727C"/>
    <w:rsid w:val="00B61928"/>
    <w:rsid w:val="00B61E3F"/>
    <w:rsid w:val="00B625BD"/>
    <w:rsid w:val="00B62757"/>
    <w:rsid w:val="00B630C3"/>
    <w:rsid w:val="00B70A06"/>
    <w:rsid w:val="00B715D4"/>
    <w:rsid w:val="00B7198F"/>
    <w:rsid w:val="00B71EC0"/>
    <w:rsid w:val="00B75011"/>
    <w:rsid w:val="00B75339"/>
    <w:rsid w:val="00B75F04"/>
    <w:rsid w:val="00B763E3"/>
    <w:rsid w:val="00B764B4"/>
    <w:rsid w:val="00B843BF"/>
    <w:rsid w:val="00B904F4"/>
    <w:rsid w:val="00B91048"/>
    <w:rsid w:val="00B9649E"/>
    <w:rsid w:val="00B96908"/>
    <w:rsid w:val="00BA1686"/>
    <w:rsid w:val="00BA2A4B"/>
    <w:rsid w:val="00BA67CA"/>
    <w:rsid w:val="00BA719F"/>
    <w:rsid w:val="00BB115B"/>
    <w:rsid w:val="00BB44E5"/>
    <w:rsid w:val="00BB4983"/>
    <w:rsid w:val="00BB6003"/>
    <w:rsid w:val="00BB72CA"/>
    <w:rsid w:val="00BC1436"/>
    <w:rsid w:val="00BC1CEF"/>
    <w:rsid w:val="00BC25DC"/>
    <w:rsid w:val="00BC6836"/>
    <w:rsid w:val="00BC7ACE"/>
    <w:rsid w:val="00BD3215"/>
    <w:rsid w:val="00BD46B9"/>
    <w:rsid w:val="00BD4796"/>
    <w:rsid w:val="00BD5CC7"/>
    <w:rsid w:val="00BE0604"/>
    <w:rsid w:val="00BF37A7"/>
    <w:rsid w:val="00BF38E6"/>
    <w:rsid w:val="00BF7EB4"/>
    <w:rsid w:val="00C00CE1"/>
    <w:rsid w:val="00C01D71"/>
    <w:rsid w:val="00C02142"/>
    <w:rsid w:val="00C03CA2"/>
    <w:rsid w:val="00C06107"/>
    <w:rsid w:val="00C061D2"/>
    <w:rsid w:val="00C06C05"/>
    <w:rsid w:val="00C11F56"/>
    <w:rsid w:val="00C1557F"/>
    <w:rsid w:val="00C17EC0"/>
    <w:rsid w:val="00C20E5E"/>
    <w:rsid w:val="00C219B7"/>
    <w:rsid w:val="00C2566F"/>
    <w:rsid w:val="00C30CFB"/>
    <w:rsid w:val="00C33045"/>
    <w:rsid w:val="00C413F5"/>
    <w:rsid w:val="00C4479B"/>
    <w:rsid w:val="00C45077"/>
    <w:rsid w:val="00C47C28"/>
    <w:rsid w:val="00C47F09"/>
    <w:rsid w:val="00C50118"/>
    <w:rsid w:val="00C504A4"/>
    <w:rsid w:val="00C50E37"/>
    <w:rsid w:val="00C51A7F"/>
    <w:rsid w:val="00C51D52"/>
    <w:rsid w:val="00C52349"/>
    <w:rsid w:val="00C5243E"/>
    <w:rsid w:val="00C54F1A"/>
    <w:rsid w:val="00C55470"/>
    <w:rsid w:val="00C56642"/>
    <w:rsid w:val="00C57922"/>
    <w:rsid w:val="00C600E3"/>
    <w:rsid w:val="00C63AD9"/>
    <w:rsid w:val="00C65094"/>
    <w:rsid w:val="00C65C44"/>
    <w:rsid w:val="00C66AE2"/>
    <w:rsid w:val="00C7079F"/>
    <w:rsid w:val="00C70AC0"/>
    <w:rsid w:val="00C7224D"/>
    <w:rsid w:val="00C72A71"/>
    <w:rsid w:val="00C77C56"/>
    <w:rsid w:val="00C804C5"/>
    <w:rsid w:val="00C84946"/>
    <w:rsid w:val="00C84C36"/>
    <w:rsid w:val="00C854FC"/>
    <w:rsid w:val="00C85A94"/>
    <w:rsid w:val="00C868B4"/>
    <w:rsid w:val="00C871B6"/>
    <w:rsid w:val="00C87587"/>
    <w:rsid w:val="00C915C9"/>
    <w:rsid w:val="00C91CED"/>
    <w:rsid w:val="00C92EE6"/>
    <w:rsid w:val="00C946F4"/>
    <w:rsid w:val="00C955F7"/>
    <w:rsid w:val="00C95E93"/>
    <w:rsid w:val="00CA277D"/>
    <w:rsid w:val="00CA2C6B"/>
    <w:rsid w:val="00CA2E87"/>
    <w:rsid w:val="00CA4123"/>
    <w:rsid w:val="00CA4C45"/>
    <w:rsid w:val="00CA6A68"/>
    <w:rsid w:val="00CB3A36"/>
    <w:rsid w:val="00CB41A8"/>
    <w:rsid w:val="00CB58AD"/>
    <w:rsid w:val="00CC0D0D"/>
    <w:rsid w:val="00CC0D2D"/>
    <w:rsid w:val="00CC14FF"/>
    <w:rsid w:val="00CC4920"/>
    <w:rsid w:val="00CD12BD"/>
    <w:rsid w:val="00CD4009"/>
    <w:rsid w:val="00CD54AE"/>
    <w:rsid w:val="00CD639D"/>
    <w:rsid w:val="00CE1D8F"/>
    <w:rsid w:val="00CE2624"/>
    <w:rsid w:val="00CE34A7"/>
    <w:rsid w:val="00CE3D70"/>
    <w:rsid w:val="00CE5256"/>
    <w:rsid w:val="00CE6BC6"/>
    <w:rsid w:val="00CF2894"/>
    <w:rsid w:val="00CF7F0D"/>
    <w:rsid w:val="00D01BDB"/>
    <w:rsid w:val="00D02508"/>
    <w:rsid w:val="00D047F4"/>
    <w:rsid w:val="00D061EE"/>
    <w:rsid w:val="00D0694B"/>
    <w:rsid w:val="00D114E2"/>
    <w:rsid w:val="00D173FD"/>
    <w:rsid w:val="00D17F18"/>
    <w:rsid w:val="00D3793E"/>
    <w:rsid w:val="00D44C65"/>
    <w:rsid w:val="00D4578D"/>
    <w:rsid w:val="00D468B7"/>
    <w:rsid w:val="00D46974"/>
    <w:rsid w:val="00D46C63"/>
    <w:rsid w:val="00D50507"/>
    <w:rsid w:val="00D507D3"/>
    <w:rsid w:val="00D527D9"/>
    <w:rsid w:val="00D53544"/>
    <w:rsid w:val="00D535E5"/>
    <w:rsid w:val="00D53FCE"/>
    <w:rsid w:val="00D56D6C"/>
    <w:rsid w:val="00D625B7"/>
    <w:rsid w:val="00D65107"/>
    <w:rsid w:val="00D663F9"/>
    <w:rsid w:val="00D67A13"/>
    <w:rsid w:val="00D7527C"/>
    <w:rsid w:val="00D80A1D"/>
    <w:rsid w:val="00D83B2F"/>
    <w:rsid w:val="00D84A11"/>
    <w:rsid w:val="00D84F40"/>
    <w:rsid w:val="00D85F7D"/>
    <w:rsid w:val="00D8640B"/>
    <w:rsid w:val="00D878B7"/>
    <w:rsid w:val="00D90056"/>
    <w:rsid w:val="00D93B9C"/>
    <w:rsid w:val="00D95098"/>
    <w:rsid w:val="00D960B3"/>
    <w:rsid w:val="00D96E9F"/>
    <w:rsid w:val="00DB3013"/>
    <w:rsid w:val="00DB3866"/>
    <w:rsid w:val="00DB3BDA"/>
    <w:rsid w:val="00DB63D3"/>
    <w:rsid w:val="00DC0E14"/>
    <w:rsid w:val="00DC14EB"/>
    <w:rsid w:val="00DC37C4"/>
    <w:rsid w:val="00DC5CF5"/>
    <w:rsid w:val="00DC6482"/>
    <w:rsid w:val="00DD006E"/>
    <w:rsid w:val="00DD2B9C"/>
    <w:rsid w:val="00DD39E4"/>
    <w:rsid w:val="00DD4CFE"/>
    <w:rsid w:val="00DE0B4E"/>
    <w:rsid w:val="00DE3083"/>
    <w:rsid w:val="00DE38A1"/>
    <w:rsid w:val="00DF0430"/>
    <w:rsid w:val="00DF7337"/>
    <w:rsid w:val="00E002E5"/>
    <w:rsid w:val="00E00FFA"/>
    <w:rsid w:val="00E02094"/>
    <w:rsid w:val="00E05240"/>
    <w:rsid w:val="00E07651"/>
    <w:rsid w:val="00E10609"/>
    <w:rsid w:val="00E11234"/>
    <w:rsid w:val="00E11635"/>
    <w:rsid w:val="00E12679"/>
    <w:rsid w:val="00E1292D"/>
    <w:rsid w:val="00E1439F"/>
    <w:rsid w:val="00E14C34"/>
    <w:rsid w:val="00E16231"/>
    <w:rsid w:val="00E17741"/>
    <w:rsid w:val="00E20CC3"/>
    <w:rsid w:val="00E21F1B"/>
    <w:rsid w:val="00E2494F"/>
    <w:rsid w:val="00E2603F"/>
    <w:rsid w:val="00E273FB"/>
    <w:rsid w:val="00E374DF"/>
    <w:rsid w:val="00E412BC"/>
    <w:rsid w:val="00E424A4"/>
    <w:rsid w:val="00E439D5"/>
    <w:rsid w:val="00E460B4"/>
    <w:rsid w:val="00E50C9D"/>
    <w:rsid w:val="00E55E68"/>
    <w:rsid w:val="00E563F1"/>
    <w:rsid w:val="00E60422"/>
    <w:rsid w:val="00E60439"/>
    <w:rsid w:val="00E63780"/>
    <w:rsid w:val="00E637AD"/>
    <w:rsid w:val="00E66F07"/>
    <w:rsid w:val="00E7021C"/>
    <w:rsid w:val="00E71783"/>
    <w:rsid w:val="00E71A68"/>
    <w:rsid w:val="00E754F4"/>
    <w:rsid w:val="00E75774"/>
    <w:rsid w:val="00E77099"/>
    <w:rsid w:val="00E7744B"/>
    <w:rsid w:val="00E83AD4"/>
    <w:rsid w:val="00E85D62"/>
    <w:rsid w:val="00E866D9"/>
    <w:rsid w:val="00E86B71"/>
    <w:rsid w:val="00E91322"/>
    <w:rsid w:val="00E9150B"/>
    <w:rsid w:val="00EA175A"/>
    <w:rsid w:val="00EA3EDE"/>
    <w:rsid w:val="00EA6AD3"/>
    <w:rsid w:val="00EB2754"/>
    <w:rsid w:val="00EB510D"/>
    <w:rsid w:val="00EB574D"/>
    <w:rsid w:val="00EB6C10"/>
    <w:rsid w:val="00EB7590"/>
    <w:rsid w:val="00EC182B"/>
    <w:rsid w:val="00EC3E45"/>
    <w:rsid w:val="00EC43D0"/>
    <w:rsid w:val="00EC450D"/>
    <w:rsid w:val="00EC6594"/>
    <w:rsid w:val="00ED0FA4"/>
    <w:rsid w:val="00ED12BD"/>
    <w:rsid w:val="00ED13ED"/>
    <w:rsid w:val="00ED1A76"/>
    <w:rsid w:val="00ED30F3"/>
    <w:rsid w:val="00ED6568"/>
    <w:rsid w:val="00EE075C"/>
    <w:rsid w:val="00EE1CAA"/>
    <w:rsid w:val="00EE6D67"/>
    <w:rsid w:val="00EE778C"/>
    <w:rsid w:val="00EF0B92"/>
    <w:rsid w:val="00EF2474"/>
    <w:rsid w:val="00EF2F41"/>
    <w:rsid w:val="00EF4479"/>
    <w:rsid w:val="00EF6479"/>
    <w:rsid w:val="00EF699C"/>
    <w:rsid w:val="00F14798"/>
    <w:rsid w:val="00F14982"/>
    <w:rsid w:val="00F16241"/>
    <w:rsid w:val="00F21C55"/>
    <w:rsid w:val="00F22203"/>
    <w:rsid w:val="00F27F44"/>
    <w:rsid w:val="00F363D5"/>
    <w:rsid w:val="00F365D7"/>
    <w:rsid w:val="00F5226C"/>
    <w:rsid w:val="00F53E2F"/>
    <w:rsid w:val="00F53F92"/>
    <w:rsid w:val="00F541DD"/>
    <w:rsid w:val="00F5560A"/>
    <w:rsid w:val="00F570FA"/>
    <w:rsid w:val="00F63537"/>
    <w:rsid w:val="00F64985"/>
    <w:rsid w:val="00F65F98"/>
    <w:rsid w:val="00F67C00"/>
    <w:rsid w:val="00F67D0E"/>
    <w:rsid w:val="00F818D3"/>
    <w:rsid w:val="00F83268"/>
    <w:rsid w:val="00F83F54"/>
    <w:rsid w:val="00F864D9"/>
    <w:rsid w:val="00F875D9"/>
    <w:rsid w:val="00F90060"/>
    <w:rsid w:val="00F91B36"/>
    <w:rsid w:val="00F949E9"/>
    <w:rsid w:val="00FA0204"/>
    <w:rsid w:val="00FA1F3F"/>
    <w:rsid w:val="00FA3B6C"/>
    <w:rsid w:val="00FA5C5E"/>
    <w:rsid w:val="00FA5E25"/>
    <w:rsid w:val="00FB3A05"/>
    <w:rsid w:val="00FB5281"/>
    <w:rsid w:val="00FB595A"/>
    <w:rsid w:val="00FC14CF"/>
    <w:rsid w:val="00FC2980"/>
    <w:rsid w:val="00FC3B92"/>
    <w:rsid w:val="00FC3BE5"/>
    <w:rsid w:val="00FC46C7"/>
    <w:rsid w:val="00FD1B39"/>
    <w:rsid w:val="00FD252B"/>
    <w:rsid w:val="00FD614C"/>
    <w:rsid w:val="00FD6F57"/>
    <w:rsid w:val="00FD7A25"/>
    <w:rsid w:val="00FE2F74"/>
    <w:rsid w:val="00FE634A"/>
    <w:rsid w:val="00FE711C"/>
    <w:rsid w:val="00FF24BD"/>
    <w:rsid w:val="00FF340E"/>
    <w:rsid w:val="00FF456F"/>
    <w:rsid w:val="00FF64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5C4796-F743-4619-8F06-A376AFC9F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line="360"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B904F4"/>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lsinformativotextotitulo">
    <w:name w:val="clsinformativotextotitulo"/>
    <w:basedOn w:val="Fontepargpadro"/>
    <w:rsid w:val="00261109"/>
  </w:style>
  <w:style w:type="paragraph" w:styleId="NormalWeb">
    <w:name w:val="Normal (Web)"/>
    <w:basedOn w:val="Normal"/>
    <w:uiPriority w:val="99"/>
    <w:unhideWhenUsed/>
    <w:rsid w:val="00261109"/>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261109"/>
    <w:rPr>
      <w:b/>
      <w:bCs/>
    </w:rPr>
  </w:style>
  <w:style w:type="character" w:customStyle="1" w:styleId="highlightbrs">
    <w:name w:val="highlightbrs"/>
    <w:basedOn w:val="Fontepargpadro"/>
    <w:rsid w:val="00261109"/>
  </w:style>
  <w:style w:type="character" w:styleId="nfase">
    <w:name w:val="Emphasis"/>
    <w:basedOn w:val="Fontepargpadro"/>
    <w:uiPriority w:val="20"/>
    <w:qFormat/>
    <w:rsid w:val="00261109"/>
    <w:rPr>
      <w:i/>
      <w:iCs/>
    </w:rPr>
  </w:style>
  <w:style w:type="character" w:styleId="Hyperlink">
    <w:name w:val="Hyperlink"/>
    <w:basedOn w:val="Fontepargpadro"/>
    <w:uiPriority w:val="99"/>
    <w:unhideWhenUsed/>
    <w:rsid w:val="00261109"/>
    <w:rPr>
      <w:color w:val="0000FF"/>
      <w:u w:val="single"/>
    </w:rPr>
  </w:style>
  <w:style w:type="paragraph" w:customStyle="1" w:styleId="TextodoCaptulo">
    <w:name w:val="Texto do Capítulo"/>
    <w:basedOn w:val="Normal"/>
    <w:rsid w:val="00D56D6C"/>
    <w:pPr>
      <w:widowControl w:val="0"/>
      <w:spacing w:after="120"/>
      <w:ind w:firstLine="340"/>
      <w:jc w:val="both"/>
    </w:pPr>
    <w:rPr>
      <w:rFonts w:ascii="Tms Rmn" w:eastAsia="Times New Roman" w:hAnsi="Tms Rmn" w:cs="Times New Roman"/>
      <w:sz w:val="24"/>
      <w:szCs w:val="20"/>
      <w:lang w:eastAsia="pt-BR"/>
    </w:rPr>
  </w:style>
  <w:style w:type="paragraph" w:styleId="Textodenotaderodap">
    <w:name w:val="footnote text"/>
    <w:basedOn w:val="Normal"/>
    <w:link w:val="TextodenotaderodapChar"/>
    <w:uiPriority w:val="99"/>
    <w:unhideWhenUsed/>
    <w:rsid w:val="00C47C28"/>
    <w:pPr>
      <w:spacing w:line="240" w:lineRule="auto"/>
    </w:pPr>
    <w:rPr>
      <w:sz w:val="20"/>
      <w:szCs w:val="20"/>
    </w:rPr>
  </w:style>
  <w:style w:type="character" w:customStyle="1" w:styleId="TextodenotaderodapChar">
    <w:name w:val="Texto de nota de rodapé Char"/>
    <w:basedOn w:val="Fontepargpadro"/>
    <w:link w:val="Textodenotaderodap"/>
    <w:uiPriority w:val="99"/>
    <w:rsid w:val="00C47C28"/>
    <w:rPr>
      <w:sz w:val="20"/>
      <w:szCs w:val="20"/>
    </w:rPr>
  </w:style>
  <w:style w:type="character" w:styleId="Refdenotaderodap">
    <w:name w:val="footnote reference"/>
    <w:basedOn w:val="Fontepargpadro"/>
    <w:uiPriority w:val="99"/>
    <w:semiHidden/>
    <w:unhideWhenUsed/>
    <w:rsid w:val="00C47C28"/>
    <w:rPr>
      <w:vertAlign w:val="superscript"/>
    </w:rPr>
  </w:style>
  <w:style w:type="paragraph" w:styleId="Textodenotadefim">
    <w:name w:val="endnote text"/>
    <w:basedOn w:val="Normal"/>
    <w:link w:val="TextodenotadefimChar"/>
    <w:uiPriority w:val="99"/>
    <w:semiHidden/>
    <w:unhideWhenUsed/>
    <w:rsid w:val="009C15D1"/>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9C15D1"/>
    <w:rPr>
      <w:sz w:val="20"/>
      <w:szCs w:val="20"/>
    </w:rPr>
  </w:style>
  <w:style w:type="character" w:styleId="Refdenotadefim">
    <w:name w:val="endnote reference"/>
    <w:basedOn w:val="Fontepargpadro"/>
    <w:uiPriority w:val="99"/>
    <w:semiHidden/>
    <w:unhideWhenUsed/>
    <w:rsid w:val="009C15D1"/>
    <w:rPr>
      <w:vertAlign w:val="superscript"/>
    </w:rPr>
  </w:style>
  <w:style w:type="paragraph" w:styleId="Cabealho">
    <w:name w:val="header"/>
    <w:basedOn w:val="Normal"/>
    <w:link w:val="CabealhoChar"/>
    <w:uiPriority w:val="99"/>
    <w:unhideWhenUsed/>
    <w:rsid w:val="009C15D1"/>
    <w:pPr>
      <w:tabs>
        <w:tab w:val="center" w:pos="4252"/>
        <w:tab w:val="right" w:pos="8504"/>
      </w:tabs>
      <w:spacing w:line="240" w:lineRule="auto"/>
    </w:pPr>
  </w:style>
  <w:style w:type="character" w:customStyle="1" w:styleId="CabealhoChar">
    <w:name w:val="Cabeçalho Char"/>
    <w:basedOn w:val="Fontepargpadro"/>
    <w:link w:val="Cabealho"/>
    <w:uiPriority w:val="99"/>
    <w:rsid w:val="009C15D1"/>
  </w:style>
  <w:style w:type="paragraph" w:styleId="Rodap">
    <w:name w:val="footer"/>
    <w:basedOn w:val="Normal"/>
    <w:link w:val="RodapChar"/>
    <w:uiPriority w:val="99"/>
    <w:unhideWhenUsed/>
    <w:rsid w:val="009C15D1"/>
    <w:pPr>
      <w:tabs>
        <w:tab w:val="center" w:pos="4252"/>
        <w:tab w:val="right" w:pos="8504"/>
      </w:tabs>
      <w:spacing w:line="240" w:lineRule="auto"/>
    </w:pPr>
  </w:style>
  <w:style w:type="character" w:customStyle="1" w:styleId="RodapChar">
    <w:name w:val="Rodapé Char"/>
    <w:basedOn w:val="Fontepargpadro"/>
    <w:link w:val="Rodap"/>
    <w:uiPriority w:val="99"/>
    <w:rsid w:val="009C15D1"/>
  </w:style>
  <w:style w:type="paragraph" w:styleId="Textodebalo">
    <w:name w:val="Balloon Text"/>
    <w:basedOn w:val="Normal"/>
    <w:link w:val="TextodebaloChar"/>
    <w:uiPriority w:val="99"/>
    <w:semiHidden/>
    <w:unhideWhenUsed/>
    <w:rsid w:val="008F0A2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F0A26"/>
    <w:rPr>
      <w:rFonts w:ascii="Segoe UI" w:hAnsi="Segoe UI" w:cs="Segoe UI"/>
      <w:sz w:val="18"/>
      <w:szCs w:val="18"/>
    </w:rPr>
  </w:style>
  <w:style w:type="paragraph" w:customStyle="1" w:styleId="Ttulopr-textual">
    <w:name w:val="Título pré-textual"/>
    <w:basedOn w:val="Texto"/>
    <w:next w:val="Texto"/>
    <w:qFormat/>
    <w:rsid w:val="00116C02"/>
    <w:pPr>
      <w:ind w:firstLine="0"/>
      <w:jc w:val="center"/>
    </w:pPr>
    <w:rPr>
      <w:b/>
      <w:caps/>
    </w:rPr>
  </w:style>
  <w:style w:type="paragraph" w:customStyle="1" w:styleId="Texto">
    <w:name w:val="Texto"/>
    <w:basedOn w:val="Normal"/>
    <w:qFormat/>
    <w:rsid w:val="00116C02"/>
    <w:pPr>
      <w:ind w:firstLine="851"/>
      <w:jc w:val="both"/>
    </w:pPr>
    <w:rPr>
      <w:rFonts w:ascii="Arial" w:eastAsia="Calibri" w:hAnsi="Arial" w:cs="Times New Roman"/>
      <w:sz w:val="24"/>
    </w:rPr>
  </w:style>
  <w:style w:type="paragraph" w:customStyle="1" w:styleId="Resumo">
    <w:name w:val="Resumo"/>
    <w:basedOn w:val="Normal"/>
    <w:qFormat/>
    <w:rsid w:val="00116C02"/>
    <w:pPr>
      <w:spacing w:line="240" w:lineRule="auto"/>
      <w:ind w:firstLine="851"/>
      <w:jc w:val="both"/>
    </w:pPr>
    <w:rPr>
      <w:rFonts w:ascii="Arial" w:eastAsia="Calibri" w:hAnsi="Arial" w:cs="Times New Roman"/>
      <w:sz w:val="24"/>
    </w:rPr>
  </w:style>
  <w:style w:type="paragraph" w:styleId="Corpodetexto2">
    <w:name w:val="Body Text 2"/>
    <w:basedOn w:val="Normal"/>
    <w:link w:val="Corpodetexto2Char"/>
    <w:rsid w:val="00116C02"/>
    <w:pPr>
      <w:ind w:firstLine="709"/>
      <w:jc w:val="both"/>
    </w:pPr>
    <w:rPr>
      <w:rFonts w:ascii="Arial" w:eastAsia="Times New Roman" w:hAnsi="Arial" w:cs="Times New Roman"/>
      <w:sz w:val="24"/>
      <w:szCs w:val="20"/>
      <w:lang w:eastAsia="pt-BR"/>
    </w:rPr>
  </w:style>
  <w:style w:type="character" w:customStyle="1" w:styleId="Corpodetexto2Char">
    <w:name w:val="Corpo de texto 2 Char"/>
    <w:basedOn w:val="Fontepargpadro"/>
    <w:link w:val="Corpodetexto2"/>
    <w:rsid w:val="00116C02"/>
    <w:rPr>
      <w:rFonts w:ascii="Arial" w:eastAsia="Times New Roman" w:hAnsi="Arial" w:cs="Times New Roman"/>
      <w:sz w:val="24"/>
      <w:szCs w:val="20"/>
      <w:lang w:eastAsia="pt-BR"/>
    </w:rPr>
  </w:style>
  <w:style w:type="paragraph" w:styleId="Sumrio1">
    <w:name w:val="toc 1"/>
    <w:basedOn w:val="Normal"/>
    <w:next w:val="Normal"/>
    <w:uiPriority w:val="39"/>
    <w:unhideWhenUsed/>
    <w:qFormat/>
    <w:rsid w:val="00116C02"/>
    <w:pPr>
      <w:tabs>
        <w:tab w:val="left" w:pos="851"/>
        <w:tab w:val="right" w:leader="dot" w:pos="9061"/>
      </w:tabs>
      <w:jc w:val="left"/>
    </w:pPr>
    <w:rPr>
      <w:rFonts w:ascii="Arial" w:eastAsia="Calibri" w:hAnsi="Arial" w:cs="Times New Roman"/>
      <w:b/>
      <w:caps/>
      <w:sz w:val="24"/>
    </w:rPr>
  </w:style>
  <w:style w:type="paragraph" w:styleId="Sumrio2">
    <w:name w:val="toc 2"/>
    <w:basedOn w:val="Normal"/>
    <w:next w:val="Normal"/>
    <w:uiPriority w:val="39"/>
    <w:unhideWhenUsed/>
    <w:qFormat/>
    <w:rsid w:val="00116C02"/>
    <w:pPr>
      <w:tabs>
        <w:tab w:val="left" w:pos="851"/>
        <w:tab w:val="right" w:leader="dot" w:pos="9061"/>
      </w:tabs>
      <w:jc w:val="left"/>
    </w:pPr>
    <w:rPr>
      <w:rFonts w:ascii="Arial" w:eastAsia="Calibri" w:hAnsi="Arial" w:cs="Times New Roman"/>
      <w:caps/>
      <w:sz w:val="24"/>
    </w:rPr>
  </w:style>
  <w:style w:type="paragraph" w:styleId="Sumrio3">
    <w:name w:val="toc 3"/>
    <w:basedOn w:val="Normal"/>
    <w:next w:val="Normal"/>
    <w:uiPriority w:val="39"/>
    <w:unhideWhenUsed/>
    <w:qFormat/>
    <w:rsid w:val="00116C02"/>
    <w:pPr>
      <w:tabs>
        <w:tab w:val="left" w:pos="851"/>
        <w:tab w:val="right" w:leader="dot" w:pos="9061"/>
      </w:tabs>
      <w:jc w:val="left"/>
    </w:pPr>
    <w:rPr>
      <w:rFonts w:ascii="Arial" w:eastAsia="Calibri" w:hAnsi="Arial" w:cs="Times New Roman"/>
      <w:sz w:val="24"/>
    </w:rPr>
  </w:style>
  <w:style w:type="paragraph" w:styleId="Sumrio4">
    <w:name w:val="toc 4"/>
    <w:basedOn w:val="Normal"/>
    <w:next w:val="Normal"/>
    <w:link w:val="Sumrio4Char"/>
    <w:uiPriority w:val="39"/>
    <w:unhideWhenUsed/>
    <w:rsid w:val="00116C02"/>
    <w:pPr>
      <w:tabs>
        <w:tab w:val="left" w:pos="851"/>
        <w:tab w:val="right" w:leader="dot" w:pos="9061"/>
      </w:tabs>
      <w:jc w:val="left"/>
    </w:pPr>
    <w:rPr>
      <w:rFonts w:ascii="Arial" w:eastAsia="Calibri" w:hAnsi="Arial" w:cs="Times New Roman"/>
      <w:sz w:val="24"/>
    </w:rPr>
  </w:style>
  <w:style w:type="character" w:customStyle="1" w:styleId="Sumrio4Char">
    <w:name w:val="Sumário 4 Char"/>
    <w:link w:val="Sumrio4"/>
    <w:uiPriority w:val="39"/>
    <w:rsid w:val="00116C02"/>
    <w:rPr>
      <w:rFonts w:ascii="Arial" w:eastAsia="Calibri" w:hAnsi="Arial" w:cs="Times New Roman"/>
      <w:sz w:val="24"/>
    </w:rPr>
  </w:style>
  <w:style w:type="paragraph" w:customStyle="1" w:styleId="parag2">
    <w:name w:val="parag2"/>
    <w:basedOn w:val="Normal"/>
    <w:rsid w:val="001513DA"/>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customStyle="1" w:styleId="parag7">
    <w:name w:val="parag7"/>
    <w:basedOn w:val="Normal"/>
    <w:rsid w:val="001513DA"/>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A34C10"/>
    <w:pPr>
      <w:ind w:left="720"/>
      <w:contextualSpacing/>
    </w:pPr>
  </w:style>
  <w:style w:type="character" w:styleId="HiperlinkVisitado">
    <w:name w:val="FollowedHyperlink"/>
    <w:basedOn w:val="Fontepargpadro"/>
    <w:uiPriority w:val="99"/>
    <w:semiHidden/>
    <w:unhideWhenUsed/>
    <w:rsid w:val="00D80A1D"/>
    <w:rPr>
      <w:color w:val="954F72" w:themeColor="followedHyperlink"/>
      <w:u w:val="single"/>
    </w:rPr>
  </w:style>
  <w:style w:type="character" w:customStyle="1" w:styleId="Ttulo1Char">
    <w:name w:val="Título 1 Char"/>
    <w:basedOn w:val="Fontepargpadro"/>
    <w:link w:val="Ttulo1"/>
    <w:uiPriority w:val="9"/>
    <w:rsid w:val="00B904F4"/>
    <w:rPr>
      <w:rFonts w:ascii="Times New Roman" w:eastAsia="Times New Roman" w:hAnsi="Times New Roman" w:cs="Times New Roman"/>
      <w:b/>
      <w:bCs/>
      <w:kern w:val="36"/>
      <w:sz w:val="48"/>
      <w:szCs w:val="48"/>
      <w:lang w:eastAsia="pt-BR"/>
    </w:rPr>
  </w:style>
  <w:style w:type="paragraph" w:customStyle="1" w:styleId="Default">
    <w:name w:val="Default"/>
    <w:rsid w:val="008F43DE"/>
    <w:pPr>
      <w:autoSpaceDE w:val="0"/>
      <w:autoSpaceDN w:val="0"/>
      <w:adjustRightInd w:val="0"/>
      <w:spacing w:line="240" w:lineRule="auto"/>
      <w:jc w:val="left"/>
    </w:pPr>
    <w:rPr>
      <w:rFonts w:ascii="Times New Roman" w:hAnsi="Times New Roman" w:cs="Times New Roman"/>
      <w:color w:val="000000"/>
      <w:sz w:val="24"/>
      <w:szCs w:val="24"/>
    </w:rPr>
  </w:style>
  <w:style w:type="paragraph" w:styleId="Pr-formataoHTML">
    <w:name w:val="HTML Preformatted"/>
    <w:basedOn w:val="Normal"/>
    <w:link w:val="Pr-formataoHTMLChar"/>
    <w:uiPriority w:val="99"/>
    <w:semiHidden/>
    <w:unhideWhenUsed/>
    <w:rsid w:val="00FF34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F340E"/>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401089">
      <w:bodyDiv w:val="1"/>
      <w:marLeft w:val="0"/>
      <w:marRight w:val="0"/>
      <w:marTop w:val="0"/>
      <w:marBottom w:val="0"/>
      <w:divBdr>
        <w:top w:val="none" w:sz="0" w:space="0" w:color="auto"/>
        <w:left w:val="none" w:sz="0" w:space="0" w:color="auto"/>
        <w:bottom w:val="none" w:sz="0" w:space="0" w:color="auto"/>
        <w:right w:val="none" w:sz="0" w:space="0" w:color="auto"/>
      </w:divBdr>
      <w:divsChild>
        <w:div w:id="51122691">
          <w:marLeft w:val="0"/>
          <w:marRight w:val="0"/>
          <w:marTop w:val="0"/>
          <w:marBottom w:val="0"/>
          <w:divBdr>
            <w:top w:val="none" w:sz="0" w:space="0" w:color="auto"/>
            <w:left w:val="none" w:sz="0" w:space="0" w:color="auto"/>
            <w:bottom w:val="none" w:sz="0" w:space="0" w:color="auto"/>
            <w:right w:val="none" w:sz="0" w:space="0" w:color="auto"/>
          </w:divBdr>
        </w:div>
      </w:divsChild>
    </w:div>
    <w:div w:id="576982770">
      <w:bodyDiv w:val="1"/>
      <w:marLeft w:val="0"/>
      <w:marRight w:val="0"/>
      <w:marTop w:val="0"/>
      <w:marBottom w:val="0"/>
      <w:divBdr>
        <w:top w:val="none" w:sz="0" w:space="0" w:color="auto"/>
        <w:left w:val="none" w:sz="0" w:space="0" w:color="auto"/>
        <w:bottom w:val="none" w:sz="0" w:space="0" w:color="auto"/>
        <w:right w:val="none" w:sz="0" w:space="0" w:color="auto"/>
      </w:divBdr>
    </w:div>
    <w:div w:id="674502465">
      <w:bodyDiv w:val="1"/>
      <w:marLeft w:val="0"/>
      <w:marRight w:val="0"/>
      <w:marTop w:val="0"/>
      <w:marBottom w:val="0"/>
      <w:divBdr>
        <w:top w:val="none" w:sz="0" w:space="0" w:color="auto"/>
        <w:left w:val="none" w:sz="0" w:space="0" w:color="auto"/>
        <w:bottom w:val="none" w:sz="0" w:space="0" w:color="auto"/>
        <w:right w:val="none" w:sz="0" w:space="0" w:color="auto"/>
      </w:divBdr>
      <w:divsChild>
        <w:div w:id="1310207472">
          <w:marLeft w:val="0"/>
          <w:marRight w:val="0"/>
          <w:marTop w:val="0"/>
          <w:marBottom w:val="375"/>
          <w:divBdr>
            <w:top w:val="none" w:sz="0" w:space="0" w:color="auto"/>
            <w:left w:val="none" w:sz="0" w:space="0" w:color="auto"/>
            <w:bottom w:val="none" w:sz="0" w:space="0" w:color="auto"/>
            <w:right w:val="none" w:sz="0" w:space="0" w:color="auto"/>
          </w:divBdr>
          <w:divsChild>
            <w:div w:id="18953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3513">
      <w:bodyDiv w:val="1"/>
      <w:marLeft w:val="0"/>
      <w:marRight w:val="0"/>
      <w:marTop w:val="0"/>
      <w:marBottom w:val="0"/>
      <w:divBdr>
        <w:top w:val="none" w:sz="0" w:space="0" w:color="auto"/>
        <w:left w:val="none" w:sz="0" w:space="0" w:color="auto"/>
        <w:bottom w:val="none" w:sz="0" w:space="0" w:color="auto"/>
        <w:right w:val="none" w:sz="0" w:space="0" w:color="auto"/>
      </w:divBdr>
    </w:div>
    <w:div w:id="934020643">
      <w:bodyDiv w:val="1"/>
      <w:marLeft w:val="0"/>
      <w:marRight w:val="0"/>
      <w:marTop w:val="0"/>
      <w:marBottom w:val="0"/>
      <w:divBdr>
        <w:top w:val="none" w:sz="0" w:space="0" w:color="auto"/>
        <w:left w:val="none" w:sz="0" w:space="0" w:color="auto"/>
        <w:bottom w:val="none" w:sz="0" w:space="0" w:color="auto"/>
        <w:right w:val="none" w:sz="0" w:space="0" w:color="auto"/>
      </w:divBdr>
      <w:divsChild>
        <w:div w:id="1012300219">
          <w:marLeft w:val="60"/>
          <w:marRight w:val="60"/>
          <w:marTop w:val="60"/>
          <w:marBottom w:val="60"/>
          <w:divBdr>
            <w:top w:val="none" w:sz="0" w:space="0" w:color="auto"/>
            <w:left w:val="none" w:sz="0" w:space="0" w:color="auto"/>
            <w:bottom w:val="none" w:sz="0" w:space="0" w:color="auto"/>
            <w:right w:val="none" w:sz="0" w:space="0" w:color="auto"/>
          </w:divBdr>
        </w:div>
        <w:div w:id="975184850">
          <w:marLeft w:val="0"/>
          <w:marRight w:val="0"/>
          <w:marTop w:val="0"/>
          <w:marBottom w:val="0"/>
          <w:divBdr>
            <w:top w:val="none" w:sz="0" w:space="0" w:color="auto"/>
            <w:left w:val="none" w:sz="0" w:space="0" w:color="auto"/>
            <w:bottom w:val="none" w:sz="0" w:space="0" w:color="auto"/>
            <w:right w:val="none" w:sz="0" w:space="0" w:color="auto"/>
          </w:divBdr>
        </w:div>
      </w:divsChild>
    </w:div>
    <w:div w:id="1044333911">
      <w:bodyDiv w:val="1"/>
      <w:marLeft w:val="0"/>
      <w:marRight w:val="0"/>
      <w:marTop w:val="0"/>
      <w:marBottom w:val="0"/>
      <w:divBdr>
        <w:top w:val="none" w:sz="0" w:space="0" w:color="auto"/>
        <w:left w:val="none" w:sz="0" w:space="0" w:color="auto"/>
        <w:bottom w:val="none" w:sz="0" w:space="0" w:color="auto"/>
        <w:right w:val="none" w:sz="0" w:space="0" w:color="auto"/>
      </w:divBdr>
    </w:div>
    <w:div w:id="1052537761">
      <w:bodyDiv w:val="1"/>
      <w:marLeft w:val="0"/>
      <w:marRight w:val="0"/>
      <w:marTop w:val="0"/>
      <w:marBottom w:val="0"/>
      <w:divBdr>
        <w:top w:val="none" w:sz="0" w:space="0" w:color="auto"/>
        <w:left w:val="none" w:sz="0" w:space="0" w:color="auto"/>
        <w:bottom w:val="none" w:sz="0" w:space="0" w:color="auto"/>
        <w:right w:val="none" w:sz="0" w:space="0" w:color="auto"/>
      </w:divBdr>
    </w:div>
    <w:div w:id="1204831813">
      <w:bodyDiv w:val="1"/>
      <w:marLeft w:val="0"/>
      <w:marRight w:val="0"/>
      <w:marTop w:val="0"/>
      <w:marBottom w:val="0"/>
      <w:divBdr>
        <w:top w:val="none" w:sz="0" w:space="0" w:color="auto"/>
        <w:left w:val="none" w:sz="0" w:space="0" w:color="auto"/>
        <w:bottom w:val="none" w:sz="0" w:space="0" w:color="auto"/>
        <w:right w:val="none" w:sz="0" w:space="0" w:color="auto"/>
      </w:divBdr>
    </w:div>
    <w:div w:id="1537766314">
      <w:bodyDiv w:val="1"/>
      <w:marLeft w:val="0"/>
      <w:marRight w:val="0"/>
      <w:marTop w:val="0"/>
      <w:marBottom w:val="0"/>
      <w:divBdr>
        <w:top w:val="none" w:sz="0" w:space="0" w:color="auto"/>
        <w:left w:val="none" w:sz="0" w:space="0" w:color="auto"/>
        <w:bottom w:val="none" w:sz="0" w:space="0" w:color="auto"/>
        <w:right w:val="none" w:sz="0" w:space="0" w:color="auto"/>
      </w:divBdr>
    </w:div>
    <w:div w:id="1625766877">
      <w:bodyDiv w:val="1"/>
      <w:marLeft w:val="0"/>
      <w:marRight w:val="0"/>
      <w:marTop w:val="0"/>
      <w:marBottom w:val="0"/>
      <w:divBdr>
        <w:top w:val="none" w:sz="0" w:space="0" w:color="auto"/>
        <w:left w:val="none" w:sz="0" w:space="0" w:color="auto"/>
        <w:bottom w:val="none" w:sz="0" w:space="0" w:color="auto"/>
        <w:right w:val="none" w:sz="0" w:space="0" w:color="auto"/>
      </w:divBdr>
    </w:div>
    <w:div w:id="1684478927">
      <w:bodyDiv w:val="1"/>
      <w:marLeft w:val="0"/>
      <w:marRight w:val="0"/>
      <w:marTop w:val="0"/>
      <w:marBottom w:val="0"/>
      <w:divBdr>
        <w:top w:val="none" w:sz="0" w:space="0" w:color="auto"/>
        <w:left w:val="none" w:sz="0" w:space="0" w:color="auto"/>
        <w:bottom w:val="none" w:sz="0" w:space="0" w:color="auto"/>
        <w:right w:val="none" w:sz="0" w:space="0" w:color="auto"/>
      </w:divBdr>
    </w:div>
    <w:div w:id="176063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portal.stf.jus.br/processos/downloadPeca.asp?id=306841295&amp;ext=.pdf" TargetMode="External"/><Relationship Id="rId18" Type="http://schemas.openxmlformats.org/officeDocument/2006/relationships/hyperlink" Target="http://www.cartaforense.com.br/conteudo/colunas/repensando-a-nocao-de-pacto-sucessorio-de-lege-ferenda/173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mara.leg.br/noticias/553631-sancionada-lei-que-proibe-casamento-antes-dos-16-anos-de-idade/" TargetMode="External"/><Relationship Id="rId17" Type="http://schemas.openxmlformats.org/officeDocument/2006/relationships/hyperlink" Target="http://professorsimao.com.br/artigos_simao_regime_bens_03.htm" TargetMode="External"/><Relationship Id="rId2" Type="http://schemas.openxmlformats.org/officeDocument/2006/relationships/numbering" Target="numbering.xml"/><Relationship Id="rId16" Type="http://schemas.openxmlformats.org/officeDocument/2006/relationships/hyperlink" Target="https://rbdcivil.ibdcivil.org.br/rbdc/article/view/239/222"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iaberenice.com.br/uploads/3_filhos_bens_e_amor_n%E3o_combinam.pdf" TargetMode="External"/><Relationship Id="rId5" Type="http://schemas.openxmlformats.org/officeDocument/2006/relationships/webSettings" Target="webSettings.xml"/><Relationship Id="rId15" Type="http://schemas.openxmlformats.org/officeDocument/2006/relationships/hyperlink" Target="https://www.conjur.com.br/2018-mai-13/processo-familiar-preciso-revisitar-legitima-descendentes" TargetMode="External"/><Relationship Id="rId10" Type="http://schemas.openxmlformats.org/officeDocument/2006/relationships/header" Target="header1.xml"/><Relationship Id="rId19" Type="http://schemas.openxmlformats.org/officeDocument/2006/relationships/hyperlink" Target="http://www.ibdfam.org.br/assets/upload/anais/186.pdf" TargetMode="External"/><Relationship Id="rId4" Type="http://schemas.openxmlformats.org/officeDocument/2006/relationships/settings" Target="settings.xml"/><Relationship Id="rId9" Type="http://schemas.openxmlformats.org/officeDocument/2006/relationships/image" Target="http://www.portal.ufpr.br/images/capa_padrao_ufpr_imprensa.jpg" TargetMode="External"/><Relationship Id="rId14" Type="http://schemas.openxmlformats.org/officeDocument/2006/relationships/hyperlink" Target="http://www2.senado.leg.br/bdsf/handle/id/589"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mariaberenice.com.br/uploads/3_-_filhos_bens_e_amor_n%E3o_combinam.pdf" TargetMode="External"/><Relationship Id="rId13" Type="http://schemas.openxmlformats.org/officeDocument/2006/relationships/hyperlink" Target="http://mariaberenice.com.br/uploads/3_-_filhos_bens_e_amor_n%E3o_combinam.pdf" TargetMode="External"/><Relationship Id="rId3" Type="http://schemas.openxmlformats.org/officeDocument/2006/relationships/hyperlink" Target="https://www.camara.leg.br/noticias/553631-sancionada-lei-que-proibe-casamento-antes-dos-16-anos-de-idade/" TargetMode="External"/><Relationship Id="rId7" Type="http://schemas.openxmlformats.org/officeDocument/2006/relationships/hyperlink" Target="http://mariaberenice.com.br/uploads/3_-_filhos_bens_e_amor_n%E3o_combinam.pdf" TargetMode="External"/><Relationship Id="rId12" Type="http://schemas.openxmlformats.org/officeDocument/2006/relationships/hyperlink" Target="http://mariaberenice.com.br/uploads/3_-_filhos_bens_e_amor_n%E3o_combinam.pdf" TargetMode="External"/><Relationship Id="rId2" Type="http://schemas.openxmlformats.org/officeDocument/2006/relationships/hyperlink" Target="https://rbdcivil.ibdcivil.org.br/rbdc/article/view/239/222" TargetMode="External"/><Relationship Id="rId16" Type="http://schemas.openxmlformats.org/officeDocument/2006/relationships/hyperlink" Target="https://rbdcivil.ibdcivil.org.br/rbdc/article/view/239/222" TargetMode="External"/><Relationship Id="rId1" Type="http://schemas.openxmlformats.org/officeDocument/2006/relationships/hyperlink" Target="http://www.ibdfam.org.br/assets/upload/anais/186.pdf" TargetMode="External"/><Relationship Id="rId6" Type="http://schemas.openxmlformats.org/officeDocument/2006/relationships/hyperlink" Target="https://www.conjur.com.br/2018-mai-13/processo-familiar-preciso-revisitar-legitima-descendentes" TargetMode="External"/><Relationship Id="rId11" Type="http://schemas.openxmlformats.org/officeDocument/2006/relationships/hyperlink" Target="http://www2.senado.leg.br/bdsf/handle/id/589" TargetMode="External"/><Relationship Id="rId5" Type="http://schemas.openxmlformats.org/officeDocument/2006/relationships/hyperlink" Target="http://portal.stf.jus.br/processos/downloadPeca.asp?id=306841295&amp;ext=.pdf" TargetMode="External"/><Relationship Id="rId15" Type="http://schemas.openxmlformats.org/officeDocument/2006/relationships/hyperlink" Target="http://www.cartaforense.com.br/conteudo/colunas/repensando-a-nocao-de-pacto-sucessorio-de-lege-ferenda/17320" TargetMode="External"/><Relationship Id="rId10" Type="http://schemas.openxmlformats.org/officeDocument/2006/relationships/hyperlink" Target="https://www.cjf.jus.br/enunciados/enunciado/531" TargetMode="External"/><Relationship Id="rId4" Type="http://schemas.openxmlformats.org/officeDocument/2006/relationships/hyperlink" Target="http://professorsimao.com.br/artigos_simao_regime_bens_03.htm" TargetMode="External"/><Relationship Id="rId9" Type="http://schemas.openxmlformats.org/officeDocument/2006/relationships/hyperlink" Target="http://mariaberenice.com.br/uploads/3_-_filhos_bens_e_amor_n%E3o_combinam.pdf" TargetMode="External"/><Relationship Id="rId14" Type="http://schemas.openxmlformats.org/officeDocument/2006/relationships/hyperlink" Target="https://rbdcivil.ibdcivil.org.br/rbdc/article/view/239/22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BD8E4-8CDE-48BB-BD65-7FD8D39F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10723</Words>
  <Characters>57908</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dc:creator>
  <cp:keywords/>
  <dc:description/>
  <cp:lastModifiedBy>Duke</cp:lastModifiedBy>
  <cp:revision>4</cp:revision>
  <cp:lastPrinted>2019-10-10T15:35:00Z</cp:lastPrinted>
  <dcterms:created xsi:type="dcterms:W3CDTF">2019-11-24T00:22:00Z</dcterms:created>
  <dcterms:modified xsi:type="dcterms:W3CDTF">2019-11-29T20:19:00Z</dcterms:modified>
</cp:coreProperties>
</file>